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charts/chart3.xml" ContentType="application/vnd.openxmlformats-officedocument.drawingml.chart+xml"/>
  <Override PartName="/word/drawings/drawing2.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BC" w:rsidRDefault="000251BC" w:rsidP="00001B36">
      <w:pPr>
        <w:jc w:val="center"/>
        <w:rPr>
          <w:b/>
        </w:rPr>
      </w:pPr>
    </w:p>
    <w:p w:rsidR="00BD0108" w:rsidRPr="00444D15" w:rsidRDefault="00BD0108" w:rsidP="00C7303D">
      <w:pPr>
        <w:spacing w:line="480" w:lineRule="auto"/>
        <w:contextualSpacing/>
        <w:rPr>
          <w:b/>
        </w:rPr>
      </w:pPr>
      <w:r w:rsidRPr="00444D15">
        <w:rPr>
          <w:b/>
          <w:u w:val="single"/>
        </w:rPr>
        <w:t>Title</w:t>
      </w:r>
      <w:r>
        <w:rPr>
          <w:b/>
        </w:rPr>
        <w:t xml:space="preserve">: Are Angelman and Prader-Willi Syndromes more Similar than we Thought? Food-related Behavior Problems in Angelman, Cornelia de Lange, Fragile X, Prader-Willi and 1p36 Deletion Syndromes </w:t>
      </w:r>
    </w:p>
    <w:p w:rsidR="00BD0108" w:rsidRPr="00444D15" w:rsidRDefault="00BD0108" w:rsidP="00C7303D">
      <w:pPr>
        <w:spacing w:line="480" w:lineRule="auto"/>
        <w:contextualSpacing/>
      </w:pPr>
    </w:p>
    <w:p w:rsidR="00BD0108" w:rsidRPr="00444D15" w:rsidRDefault="00BD0108" w:rsidP="00C7303D">
      <w:pPr>
        <w:spacing w:line="480" w:lineRule="auto"/>
        <w:contextualSpacing/>
        <w:rPr>
          <w:lang w:val="en-US"/>
        </w:rPr>
      </w:pPr>
      <w:r w:rsidRPr="00444D15">
        <w:rPr>
          <w:u w:val="single"/>
          <w:lang w:val="en-US"/>
        </w:rPr>
        <w:t>Authors</w:t>
      </w:r>
      <w:r w:rsidRPr="00444D15">
        <w:rPr>
          <w:lang w:val="en-US"/>
        </w:rPr>
        <w:t>:</w:t>
      </w:r>
      <w:r>
        <w:rPr>
          <w:lang w:val="en-US"/>
        </w:rPr>
        <w:t xml:space="preserve"> Welham, Alice</w:t>
      </w:r>
      <w:r w:rsidRPr="00D21D33">
        <w:rPr>
          <w:vertAlign w:val="superscript"/>
          <w:lang w:val="en-US"/>
        </w:rPr>
        <w:t>1</w:t>
      </w:r>
      <w:r>
        <w:rPr>
          <w:lang w:val="en-US"/>
        </w:rPr>
        <w:t>; Lau, Johnny</w:t>
      </w:r>
      <w:r w:rsidRPr="00D21D33">
        <w:rPr>
          <w:vertAlign w:val="superscript"/>
          <w:lang w:val="en-US"/>
        </w:rPr>
        <w:t>1</w:t>
      </w:r>
      <w:r>
        <w:rPr>
          <w:lang w:val="en-US"/>
        </w:rPr>
        <w:t>; Moss, Joanna</w:t>
      </w:r>
      <w:r w:rsidRPr="00D21D33">
        <w:rPr>
          <w:vertAlign w:val="superscript"/>
          <w:lang w:val="en-US"/>
        </w:rPr>
        <w:t>1</w:t>
      </w:r>
      <w:r>
        <w:rPr>
          <w:lang w:val="en-US"/>
        </w:rPr>
        <w:t>;</w:t>
      </w:r>
      <w:r w:rsidRPr="002F7E23">
        <w:rPr>
          <w:lang w:val="en-US"/>
        </w:rPr>
        <w:t xml:space="preserve"> C</w:t>
      </w:r>
      <w:r>
        <w:rPr>
          <w:lang w:val="en-US"/>
        </w:rPr>
        <w:t>ullen, Jenny</w:t>
      </w:r>
      <w:r w:rsidRPr="00D21D33">
        <w:rPr>
          <w:vertAlign w:val="superscript"/>
          <w:lang w:val="en-US"/>
        </w:rPr>
        <w:t>1</w:t>
      </w:r>
      <w:r>
        <w:rPr>
          <w:lang w:val="en-US"/>
        </w:rPr>
        <w:t>; Higgs, Suzanne</w:t>
      </w:r>
      <w:r w:rsidRPr="00D21D33">
        <w:rPr>
          <w:vertAlign w:val="superscript"/>
          <w:lang w:val="en-US"/>
        </w:rPr>
        <w:t>1</w:t>
      </w:r>
      <w:r>
        <w:rPr>
          <w:lang w:val="en-US"/>
        </w:rPr>
        <w:t xml:space="preserve">; </w:t>
      </w:r>
      <w:r w:rsidR="008834D2">
        <w:rPr>
          <w:lang w:val="en-US"/>
        </w:rPr>
        <w:t>Wilde, Lucy</w:t>
      </w:r>
      <w:r w:rsidR="008834D2" w:rsidRPr="00D21D33">
        <w:rPr>
          <w:vertAlign w:val="superscript"/>
          <w:lang w:val="en-US"/>
        </w:rPr>
        <w:t>1</w:t>
      </w:r>
      <w:r w:rsidR="008834D2">
        <w:rPr>
          <w:lang w:val="en-US"/>
        </w:rPr>
        <w:t xml:space="preserve">; </w:t>
      </w:r>
      <w:r>
        <w:rPr>
          <w:lang w:val="en-US"/>
        </w:rPr>
        <w:t>Marr, Abby</w:t>
      </w:r>
      <w:r w:rsidRPr="00D21D33">
        <w:rPr>
          <w:vertAlign w:val="superscript"/>
          <w:lang w:val="en-US"/>
        </w:rPr>
        <w:t>1</w:t>
      </w:r>
      <w:r>
        <w:rPr>
          <w:lang w:val="en-US"/>
        </w:rPr>
        <w:t>; Cook, Faye</w:t>
      </w:r>
      <w:r w:rsidRPr="00D21D33">
        <w:rPr>
          <w:vertAlign w:val="superscript"/>
          <w:lang w:val="en-US"/>
        </w:rPr>
        <w:t>1</w:t>
      </w:r>
      <w:r w:rsidRPr="002F7E23">
        <w:rPr>
          <w:lang w:val="en-US"/>
        </w:rPr>
        <w:t xml:space="preserve"> </w:t>
      </w:r>
      <w:r>
        <w:rPr>
          <w:lang w:val="en-US"/>
        </w:rPr>
        <w:t>&amp; Oliver, Chris</w:t>
      </w:r>
      <w:r w:rsidRPr="00D21D33">
        <w:rPr>
          <w:vertAlign w:val="superscript"/>
          <w:lang w:val="en-US"/>
        </w:rPr>
        <w:t>1</w:t>
      </w:r>
    </w:p>
    <w:p w:rsidR="00BD0108" w:rsidRDefault="00BD0108" w:rsidP="00C7303D">
      <w:pPr>
        <w:spacing w:line="480" w:lineRule="auto"/>
        <w:contextualSpacing/>
        <w:rPr>
          <w:lang w:val="en-US"/>
        </w:rPr>
      </w:pPr>
      <w:r>
        <w:rPr>
          <w:u w:val="single"/>
          <w:lang w:val="en-US"/>
        </w:rPr>
        <w:t xml:space="preserve">Author </w:t>
      </w:r>
      <w:r w:rsidRPr="00740621">
        <w:rPr>
          <w:u w:val="single"/>
          <w:lang w:val="en-US"/>
        </w:rPr>
        <w:t>Affiliations</w:t>
      </w:r>
      <w:r>
        <w:rPr>
          <w:lang w:val="en-US"/>
        </w:rPr>
        <w:t>:</w:t>
      </w:r>
    </w:p>
    <w:p w:rsidR="00BD0108" w:rsidRPr="00740621" w:rsidRDefault="00BD0108" w:rsidP="00C7303D">
      <w:pPr>
        <w:pStyle w:val="ListParagraph"/>
        <w:numPr>
          <w:ilvl w:val="0"/>
          <w:numId w:val="3"/>
        </w:numPr>
        <w:spacing w:after="200" w:line="480" w:lineRule="auto"/>
        <w:rPr>
          <w:lang w:val="en-US"/>
        </w:rPr>
      </w:pPr>
      <w:r>
        <w:rPr>
          <w:lang w:val="en-US"/>
        </w:rPr>
        <w:t>University of Birmingham, UK</w:t>
      </w:r>
    </w:p>
    <w:p w:rsidR="00BD0108" w:rsidRDefault="00BD0108" w:rsidP="00C7303D">
      <w:pPr>
        <w:spacing w:line="480" w:lineRule="auto"/>
        <w:contextualSpacing/>
        <w:rPr>
          <w:lang w:val="en-US"/>
        </w:rPr>
      </w:pPr>
      <w:r>
        <w:rPr>
          <w:u w:val="single"/>
          <w:lang w:val="en-US"/>
        </w:rPr>
        <w:t xml:space="preserve">Corresponding Author contact details: </w:t>
      </w:r>
    </w:p>
    <w:p w:rsidR="00BD0108" w:rsidRDefault="00BD0108" w:rsidP="00C7303D">
      <w:pPr>
        <w:spacing w:line="480" w:lineRule="auto"/>
        <w:contextualSpacing/>
        <w:rPr>
          <w:lang w:val="en-US"/>
        </w:rPr>
      </w:pPr>
      <w:r>
        <w:rPr>
          <w:lang w:val="en-US"/>
        </w:rPr>
        <w:t>Prof. Chris Oliver</w:t>
      </w:r>
    </w:p>
    <w:p w:rsidR="00BD0108" w:rsidRDefault="00BD0108" w:rsidP="00C7303D">
      <w:pPr>
        <w:spacing w:line="480" w:lineRule="auto"/>
        <w:contextualSpacing/>
        <w:rPr>
          <w:lang w:val="en-US"/>
        </w:rPr>
      </w:pPr>
      <w:r>
        <w:rPr>
          <w:lang w:val="en-US"/>
        </w:rPr>
        <w:t>School of Psychology</w:t>
      </w:r>
    </w:p>
    <w:p w:rsidR="00BD0108" w:rsidRDefault="00BD0108" w:rsidP="00C7303D">
      <w:pPr>
        <w:spacing w:line="480" w:lineRule="auto"/>
        <w:contextualSpacing/>
        <w:rPr>
          <w:lang w:val="en-US"/>
        </w:rPr>
      </w:pPr>
      <w:r>
        <w:rPr>
          <w:lang w:val="en-US"/>
        </w:rPr>
        <w:t>University of Birmingham</w:t>
      </w:r>
    </w:p>
    <w:p w:rsidR="00BD0108" w:rsidRDefault="00BD0108" w:rsidP="00C7303D">
      <w:pPr>
        <w:spacing w:line="480" w:lineRule="auto"/>
        <w:contextualSpacing/>
        <w:rPr>
          <w:lang w:val="en-US"/>
        </w:rPr>
      </w:pPr>
      <w:r>
        <w:rPr>
          <w:lang w:val="en-US"/>
        </w:rPr>
        <w:t xml:space="preserve">Birmingham </w:t>
      </w:r>
    </w:p>
    <w:p w:rsidR="00BD0108" w:rsidRDefault="00BD0108" w:rsidP="00C7303D">
      <w:pPr>
        <w:spacing w:line="480" w:lineRule="auto"/>
        <w:contextualSpacing/>
        <w:rPr>
          <w:lang w:val="en-US"/>
        </w:rPr>
      </w:pPr>
      <w:r>
        <w:rPr>
          <w:lang w:val="en-US"/>
        </w:rPr>
        <w:t>B15 2TT</w:t>
      </w:r>
    </w:p>
    <w:p w:rsidR="00BD0108" w:rsidRPr="00007D69" w:rsidRDefault="00BD0108" w:rsidP="00C7303D">
      <w:pPr>
        <w:spacing w:line="480" w:lineRule="auto"/>
        <w:contextualSpacing/>
        <w:rPr>
          <w:lang w:val="en-US"/>
        </w:rPr>
      </w:pPr>
      <w:r>
        <w:rPr>
          <w:lang w:val="en-US"/>
        </w:rPr>
        <w:t>UK</w:t>
      </w:r>
    </w:p>
    <w:p w:rsidR="00BD0108" w:rsidRDefault="00BD0108" w:rsidP="00C7303D">
      <w:pPr>
        <w:spacing w:line="480" w:lineRule="auto"/>
        <w:contextualSpacing/>
        <w:rPr>
          <w:lang w:val="en-US"/>
        </w:rPr>
      </w:pPr>
    </w:p>
    <w:p w:rsidR="00BD0108" w:rsidRDefault="00BD0108" w:rsidP="00C7303D">
      <w:pPr>
        <w:spacing w:line="480" w:lineRule="auto"/>
        <w:contextualSpacing/>
        <w:rPr>
          <w:lang w:val="en-US"/>
        </w:rPr>
      </w:pPr>
      <w:r>
        <w:rPr>
          <w:lang w:val="en-US"/>
        </w:rPr>
        <w:t>Tel: +44 121 414 7206</w:t>
      </w:r>
    </w:p>
    <w:p w:rsidR="00BD0108" w:rsidRDefault="00BD0108" w:rsidP="00C7303D">
      <w:pPr>
        <w:spacing w:line="480" w:lineRule="auto"/>
        <w:contextualSpacing/>
        <w:rPr>
          <w:lang w:val="en-US"/>
        </w:rPr>
      </w:pPr>
      <w:r>
        <w:rPr>
          <w:lang w:val="en-US"/>
        </w:rPr>
        <w:t>E-mail: C.Oliver@bham.ac.uk</w:t>
      </w:r>
    </w:p>
    <w:p w:rsidR="00BD0108" w:rsidRDefault="00BD0108" w:rsidP="00C7303D">
      <w:pPr>
        <w:spacing w:line="480" w:lineRule="auto"/>
        <w:contextualSpacing/>
        <w:rPr>
          <w:u w:val="single"/>
          <w:lang w:val="en-US"/>
        </w:rPr>
      </w:pPr>
    </w:p>
    <w:p w:rsidR="00BD0108" w:rsidRPr="00D6344C" w:rsidRDefault="00BD0108" w:rsidP="00C7303D">
      <w:pPr>
        <w:spacing w:line="480" w:lineRule="auto"/>
        <w:contextualSpacing/>
        <w:sectPr w:rsidR="00BD0108" w:rsidRPr="00D6344C">
          <w:headerReference w:type="default" r:id="rId9"/>
          <w:pgSz w:w="12240" w:h="15840"/>
          <w:pgMar w:top="1440" w:right="1440" w:bottom="1440" w:left="1440" w:header="720" w:footer="720" w:gutter="0"/>
          <w:cols w:space="720"/>
          <w:noEndnote/>
        </w:sectPr>
      </w:pPr>
      <w:r w:rsidRPr="00444D15">
        <w:rPr>
          <w:u w:val="single"/>
          <w:lang w:val="en-US"/>
        </w:rPr>
        <w:t>Suggested running head</w:t>
      </w:r>
      <w:r w:rsidRPr="00444D15">
        <w:rPr>
          <w:lang w:val="en-US"/>
        </w:rPr>
        <w:t xml:space="preserve">: </w:t>
      </w:r>
      <w:r w:rsidR="00D6327E">
        <w:rPr>
          <w:lang w:val="en-US"/>
        </w:rPr>
        <w:t>Food relate</w:t>
      </w:r>
      <w:r w:rsidR="00D31345">
        <w:rPr>
          <w:lang w:val="en-US"/>
        </w:rPr>
        <w:t xml:space="preserve">d Behavior </w:t>
      </w:r>
      <w:r>
        <w:rPr>
          <w:lang w:val="en-US"/>
        </w:rPr>
        <w:t>in Genetic Syndromes</w:t>
      </w:r>
    </w:p>
    <w:p w:rsidR="00BD0108" w:rsidRPr="008A55D4" w:rsidRDefault="00891F54" w:rsidP="00BD0108">
      <w:pPr>
        <w:pStyle w:val="Heading3"/>
        <w:spacing w:line="480" w:lineRule="auto"/>
        <w:jc w:val="center"/>
        <w:rPr>
          <w:lang w:val="en"/>
        </w:rPr>
      </w:pPr>
      <w:r>
        <w:rPr>
          <w:lang w:val="en"/>
        </w:rPr>
        <w:lastRenderedPageBreak/>
        <w:t>ABSTRACT</w:t>
      </w:r>
    </w:p>
    <w:p w:rsidR="00BD0108" w:rsidRPr="008A55D4" w:rsidRDefault="00BD0108" w:rsidP="00BD0108">
      <w:pPr>
        <w:spacing w:line="480" w:lineRule="auto"/>
        <w:rPr>
          <w:rFonts w:ascii="Cambria" w:hAnsi="Cambria"/>
          <w:lang w:val="en"/>
        </w:rPr>
      </w:pPr>
      <w:r w:rsidRPr="008A55D4">
        <w:rPr>
          <w:rFonts w:ascii="Cambria" w:hAnsi="Cambria"/>
          <w:lang w:val="en"/>
        </w:rPr>
        <w:t xml:space="preserve">Food-related behavior problems are well documented in </w:t>
      </w:r>
      <w:r>
        <w:rPr>
          <w:rFonts w:ascii="Cambria" w:hAnsi="Cambria"/>
          <w:lang w:val="en"/>
        </w:rPr>
        <w:t>Prader-Willi syndrome (PWS)</w:t>
      </w:r>
      <w:r w:rsidRPr="008A55D4">
        <w:rPr>
          <w:rFonts w:ascii="Cambria" w:hAnsi="Cambria"/>
          <w:lang w:val="en"/>
        </w:rPr>
        <w:t xml:space="preserve">, with impaired satiety, preoccupation with food and negative food-related behaviors (such as taking and storing food) frequently reported as part of the behavioral phenotype of older children and adults. Food-related behavior problems in other genetic neurodevelopmental syndromes remain less well studied, including those seen in Angelman Syndrome (AS), the </w:t>
      </w:r>
      <w:r>
        <w:rPr>
          <w:rFonts w:ascii="Cambria" w:hAnsi="Cambria"/>
          <w:lang w:val="en"/>
        </w:rPr>
        <w:t>’sister imprinted disorder’</w:t>
      </w:r>
      <w:r w:rsidRPr="008A55D4">
        <w:rPr>
          <w:rFonts w:ascii="Cambria" w:hAnsi="Cambria"/>
          <w:lang w:val="en"/>
        </w:rPr>
        <w:t xml:space="preserve"> of PWS.</w:t>
      </w:r>
    </w:p>
    <w:p w:rsidR="00BD0108" w:rsidRPr="00057E63" w:rsidRDefault="00BD0108" w:rsidP="00BD0108">
      <w:pPr>
        <w:spacing w:line="480" w:lineRule="auto"/>
        <w:rPr>
          <w:lang w:val="en"/>
        </w:rPr>
        <w:sectPr w:rsidR="00BD0108" w:rsidRPr="00057E63">
          <w:pgSz w:w="12240" w:h="15840"/>
          <w:pgMar w:top="1440" w:right="1440" w:bottom="1440" w:left="1440" w:header="720" w:footer="720" w:gutter="0"/>
          <w:cols w:space="720"/>
          <w:noEndnote/>
        </w:sectPr>
      </w:pPr>
      <w:r>
        <w:rPr>
          <w:rFonts w:ascii="Cambria" w:hAnsi="Cambria" w:cs="Cambria"/>
          <w:lang w:val="en"/>
        </w:rPr>
        <w:tab/>
        <w:t>Food-related behavior problems were assessed in 15</w:t>
      </w:r>
      <w:r w:rsidR="00363670">
        <w:rPr>
          <w:rFonts w:ascii="Cambria" w:hAnsi="Cambria" w:cs="Cambria"/>
          <w:lang w:val="en"/>
        </w:rPr>
        <w:t>2</w:t>
      </w:r>
      <w:r>
        <w:rPr>
          <w:rFonts w:ascii="Cambria" w:hAnsi="Cambria" w:cs="Cambria"/>
          <w:lang w:val="en"/>
        </w:rPr>
        <w:t xml:space="preserve"> participants each with one of five genetic neurodevelopmental syndromes – PWS, AS, 1p36 deletion, Cornelia de Lange and fragile X. Predictably, </w:t>
      </w:r>
      <w:r w:rsidR="00334D97">
        <w:rPr>
          <w:rFonts w:ascii="Cambria" w:hAnsi="Cambria" w:cs="Cambria"/>
          <w:lang w:val="en"/>
        </w:rPr>
        <w:t xml:space="preserve">levels of food-related behavior problems </w:t>
      </w:r>
      <w:r w:rsidR="009324B6">
        <w:rPr>
          <w:rFonts w:ascii="Cambria" w:hAnsi="Cambria" w:cs="Cambria"/>
          <w:lang w:val="en"/>
        </w:rPr>
        <w:t xml:space="preserve">reported </w:t>
      </w:r>
      <w:r w:rsidR="00334D97">
        <w:rPr>
          <w:rFonts w:ascii="Cambria" w:hAnsi="Cambria" w:cs="Cambria"/>
          <w:lang w:val="en"/>
        </w:rPr>
        <w:t xml:space="preserve">in </w:t>
      </w:r>
      <w:r w:rsidR="00982A16">
        <w:rPr>
          <w:rFonts w:ascii="Cambria" w:hAnsi="Cambria" w:cs="Cambria"/>
          <w:lang w:val="en"/>
        </w:rPr>
        <w:t>participants with PWS</w:t>
      </w:r>
      <w:r>
        <w:rPr>
          <w:rFonts w:ascii="Cambria" w:hAnsi="Cambria" w:cs="Cambria"/>
          <w:lang w:val="en"/>
        </w:rPr>
        <w:t xml:space="preserve"> </w:t>
      </w:r>
      <w:r w:rsidR="00F66AF4">
        <w:rPr>
          <w:rFonts w:ascii="Cambria" w:hAnsi="Cambria" w:cs="Cambria"/>
          <w:lang w:val="en"/>
        </w:rPr>
        <w:t xml:space="preserve">significantly </w:t>
      </w:r>
      <w:r w:rsidR="00982A16">
        <w:rPr>
          <w:rFonts w:ascii="Cambria" w:hAnsi="Cambria" w:cs="Cambria"/>
          <w:lang w:val="en"/>
        </w:rPr>
        <w:t xml:space="preserve">exceeded those of </w:t>
      </w:r>
      <w:r w:rsidR="009B50B5">
        <w:rPr>
          <w:rFonts w:ascii="Cambria" w:hAnsi="Cambria" w:cs="Cambria"/>
          <w:lang w:val="en"/>
        </w:rPr>
        <w:t>at least one</w:t>
      </w:r>
      <w:r w:rsidR="00982A16">
        <w:rPr>
          <w:rFonts w:ascii="Cambria" w:hAnsi="Cambria" w:cs="Cambria"/>
          <w:lang w:val="en"/>
        </w:rPr>
        <w:t xml:space="preserve"> other groups in most areas </w:t>
      </w:r>
      <w:r>
        <w:rPr>
          <w:rFonts w:ascii="Cambria" w:hAnsi="Cambria" w:cs="Cambria"/>
          <w:lang w:val="en"/>
        </w:rPr>
        <w:t>(</w:t>
      </w:r>
      <w:r w:rsidR="00F66AF4">
        <w:rPr>
          <w:rFonts w:ascii="Cambria" w:hAnsi="Cambria" w:cs="Cambria"/>
          <w:lang w:val="en"/>
        </w:rPr>
        <w:t xml:space="preserve">impaired satiety; </w:t>
      </w:r>
      <w:r>
        <w:rPr>
          <w:rFonts w:ascii="Cambria" w:hAnsi="Cambria" w:cs="Cambria"/>
          <w:lang w:val="en"/>
        </w:rPr>
        <w:t>preoccupation with food; taking and storing food</w:t>
      </w:r>
      <w:r w:rsidR="00F66AF4">
        <w:rPr>
          <w:rFonts w:ascii="Cambria" w:hAnsi="Cambria" w:cs="Cambria"/>
          <w:lang w:val="en"/>
        </w:rPr>
        <w:t>; composite negative behavior</w:t>
      </w:r>
      <w:r>
        <w:rPr>
          <w:rFonts w:ascii="Cambria" w:hAnsi="Cambria" w:cs="Cambria"/>
          <w:lang w:val="en"/>
        </w:rPr>
        <w:t xml:space="preserve">). However, the AS group </w:t>
      </w:r>
      <w:r w:rsidR="009F5512">
        <w:rPr>
          <w:rFonts w:ascii="Cambria" w:hAnsi="Cambria" w:cs="Cambria"/>
          <w:lang w:val="en"/>
        </w:rPr>
        <w:t>were also reported to display significantly more food-related behavior problems</w:t>
      </w:r>
      <w:r>
        <w:rPr>
          <w:rFonts w:ascii="Cambria" w:hAnsi="Cambria" w:cs="Cambria"/>
          <w:lang w:val="en"/>
        </w:rPr>
        <w:t xml:space="preserve"> </w:t>
      </w:r>
      <w:r w:rsidR="00A827FD">
        <w:rPr>
          <w:rFonts w:ascii="Cambria" w:hAnsi="Cambria" w:cs="Cambria"/>
          <w:lang w:val="en"/>
        </w:rPr>
        <w:t xml:space="preserve">than at least one comparison group </w:t>
      </w:r>
      <w:r>
        <w:rPr>
          <w:rFonts w:ascii="Cambria" w:hAnsi="Cambria" w:cs="Cambria"/>
          <w:lang w:val="en"/>
        </w:rPr>
        <w:t>on  measure</w:t>
      </w:r>
      <w:r w:rsidR="00A827FD">
        <w:rPr>
          <w:rFonts w:ascii="Cambria" w:hAnsi="Cambria" w:cs="Cambria"/>
          <w:lang w:val="en"/>
        </w:rPr>
        <w:t>s</w:t>
      </w:r>
      <w:r>
        <w:rPr>
          <w:rFonts w:ascii="Cambria" w:hAnsi="Cambria" w:cs="Cambria"/>
          <w:lang w:val="en"/>
        </w:rPr>
        <w:t xml:space="preserve"> of </w:t>
      </w:r>
      <w:r w:rsidR="00A827FD">
        <w:rPr>
          <w:rFonts w:ascii="Cambria" w:hAnsi="Cambria" w:cs="Cambria"/>
          <w:lang w:val="en"/>
        </w:rPr>
        <w:t xml:space="preserve">taking and storing food, </w:t>
      </w:r>
      <w:r>
        <w:rPr>
          <w:rFonts w:ascii="Cambria" w:hAnsi="Cambria" w:cs="Cambria"/>
          <w:lang w:val="en"/>
        </w:rPr>
        <w:t>composite negative behaviors</w:t>
      </w:r>
      <w:r w:rsidR="00A827FD">
        <w:rPr>
          <w:rFonts w:ascii="Cambria" w:hAnsi="Cambria" w:cs="Cambria"/>
          <w:lang w:val="en"/>
        </w:rPr>
        <w:t>, impaired satiety and preoccupation with food</w:t>
      </w:r>
      <w:r w:rsidR="005917AC">
        <w:rPr>
          <w:rFonts w:ascii="Cambria" w:hAnsi="Cambria" w:cs="Cambria"/>
          <w:lang w:val="en"/>
        </w:rPr>
        <w:t>.</w:t>
      </w:r>
      <w:r w:rsidR="002A795B">
        <w:rPr>
          <w:rFonts w:ascii="Cambria" w:hAnsi="Cambria" w:cs="Cambria"/>
          <w:lang w:val="en"/>
        </w:rPr>
        <w:t xml:space="preserve"> </w:t>
      </w:r>
      <w:r w:rsidR="005917AC">
        <w:rPr>
          <w:rFonts w:ascii="Cambria" w:hAnsi="Cambria" w:cs="Cambria"/>
          <w:lang w:val="en"/>
        </w:rPr>
        <w:t>I</w:t>
      </w:r>
      <w:r>
        <w:rPr>
          <w:rFonts w:ascii="Cambria" w:hAnsi="Cambria" w:cs="Cambria"/>
          <w:lang w:val="en"/>
        </w:rPr>
        <w:t xml:space="preserve">n some areas people with AS </w:t>
      </w:r>
      <w:r w:rsidR="00EB2505">
        <w:rPr>
          <w:rFonts w:ascii="Cambria" w:hAnsi="Cambria" w:cs="Cambria"/>
          <w:lang w:val="en"/>
        </w:rPr>
        <w:t>were reported to display</w:t>
      </w:r>
      <w:r w:rsidR="00716500">
        <w:rPr>
          <w:rFonts w:ascii="Cambria" w:hAnsi="Cambria" w:cs="Cambria"/>
          <w:lang w:val="en"/>
        </w:rPr>
        <w:t xml:space="preserve"> </w:t>
      </w:r>
      <w:r>
        <w:rPr>
          <w:rFonts w:ascii="Cambria" w:hAnsi="Cambria" w:cs="Cambria"/>
          <w:lang w:val="en"/>
        </w:rPr>
        <w:t>food-related problems at le</w:t>
      </w:r>
      <w:r w:rsidR="002A795B">
        <w:rPr>
          <w:rFonts w:ascii="Cambria" w:hAnsi="Cambria" w:cs="Cambria"/>
          <w:lang w:val="en"/>
        </w:rPr>
        <w:t>ast as severe as those with PWS</w:t>
      </w:r>
      <w:r>
        <w:rPr>
          <w:rFonts w:ascii="Cambria" w:hAnsi="Cambria" w:cs="Cambria"/>
          <w:lang w:val="en"/>
        </w:rPr>
        <w:t xml:space="preserve">. Over 50% of participants in the AS group scored above the median point of the distribution of PWS scores on </w:t>
      </w:r>
      <w:r w:rsidR="00A837D7">
        <w:rPr>
          <w:rFonts w:ascii="Cambria" w:hAnsi="Cambria" w:cs="Cambria"/>
          <w:lang w:val="en"/>
        </w:rPr>
        <w:t xml:space="preserve">a </w:t>
      </w:r>
      <w:r>
        <w:rPr>
          <w:rFonts w:ascii="Cambria" w:hAnsi="Cambria" w:cs="Cambria"/>
          <w:lang w:val="en"/>
        </w:rPr>
        <w:t>measure</w:t>
      </w:r>
      <w:r w:rsidR="00A837D7">
        <w:rPr>
          <w:rFonts w:ascii="Cambria" w:hAnsi="Cambria" w:cs="Cambria"/>
          <w:lang w:val="en"/>
        </w:rPr>
        <w:t xml:space="preserve"> of taking and storing food</w:t>
      </w:r>
      <w:r>
        <w:rPr>
          <w:rFonts w:ascii="Cambria" w:hAnsi="Cambria" w:cs="Cambria"/>
          <w:lang w:val="en"/>
        </w:rPr>
        <w:t>. These findings indicate further investigation of eating problems in AS are warranted and have implications for current theoretical interpretations of the behavioral differences between AS and PWS.</w:t>
      </w:r>
    </w:p>
    <w:p w:rsidR="00BD0108" w:rsidRDefault="00214084" w:rsidP="00BD0108">
      <w:pPr>
        <w:keepNext/>
        <w:keepLines/>
        <w:widowControl w:val="0"/>
        <w:autoSpaceDE w:val="0"/>
        <w:autoSpaceDN w:val="0"/>
        <w:adjustRightInd w:val="0"/>
        <w:spacing w:before="480" w:line="480" w:lineRule="auto"/>
        <w:jc w:val="center"/>
        <w:rPr>
          <w:rFonts w:ascii="Cambria" w:hAnsi="Cambria" w:cs="Cambria"/>
          <w:b/>
          <w:bCs/>
          <w:lang w:val="en"/>
        </w:rPr>
      </w:pPr>
      <w:r>
        <w:rPr>
          <w:rFonts w:ascii="Cambria" w:hAnsi="Cambria" w:cs="Cambria"/>
          <w:b/>
          <w:bCs/>
          <w:lang w:val="en"/>
        </w:rPr>
        <w:lastRenderedPageBreak/>
        <w:t>INTRODUCTION</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Atypical and problematic eating- and food-related behaviors feature in the descriptions of a number of </w:t>
      </w:r>
      <w:r w:rsidR="00DB1430">
        <w:rPr>
          <w:rFonts w:ascii="Cambria" w:hAnsi="Cambria" w:cs="Cambria"/>
          <w:lang w:val="en"/>
        </w:rPr>
        <w:t xml:space="preserve">genetic </w:t>
      </w:r>
      <w:r>
        <w:rPr>
          <w:rFonts w:ascii="Cambria" w:hAnsi="Cambria" w:cs="Cambria"/>
          <w:lang w:val="en"/>
        </w:rPr>
        <w:t>syndromes</w:t>
      </w:r>
      <w:r w:rsidR="000C574C">
        <w:rPr>
          <w:rFonts w:ascii="Cambria" w:hAnsi="Cambria" w:cs="Cambria"/>
          <w:lang w:val="en"/>
        </w:rPr>
        <w:t>,</w:t>
      </w:r>
      <w:r>
        <w:rPr>
          <w:rFonts w:ascii="Cambria" w:hAnsi="Cambria" w:cs="Cambria"/>
          <w:lang w:val="en"/>
        </w:rPr>
        <w:t xml:space="preserve"> but are most prominently associated with the </w:t>
      </w:r>
      <w:r w:rsidR="005D05DD">
        <w:rPr>
          <w:rFonts w:ascii="Cambria" w:hAnsi="Cambria" w:cs="Cambria"/>
          <w:lang w:val="en"/>
        </w:rPr>
        <w:t xml:space="preserve">behavioral </w:t>
      </w:r>
      <w:r>
        <w:rPr>
          <w:rFonts w:ascii="Cambria" w:hAnsi="Cambria" w:cs="Cambria"/>
          <w:lang w:val="en"/>
        </w:rPr>
        <w:t xml:space="preserve">phenotype of Prader-Willi Syndrome (PWS). PWS is caused by absence or lack of expression of a region of the paternally-derived proximal long arm of chromosome 15q (15q11-q13). The phenotype [see, e.g., </w:t>
      </w:r>
      <w:r w:rsidRPr="00A9513B">
        <w:rPr>
          <w:rFonts w:ascii="Cambria" w:hAnsi="Cambria" w:cs="Cambria"/>
          <w:noProof/>
          <w:lang w:val="en"/>
        </w:rPr>
        <w:t>Whittington &amp; Holland, 2010</w:t>
      </w:r>
      <w:r>
        <w:rPr>
          <w:rFonts w:ascii="Cambria" w:hAnsi="Cambria" w:cs="Cambria"/>
          <w:lang w:val="en"/>
        </w:rPr>
        <w:t xml:space="preserve">] includes initial feeding difficulties and failure to thrive [e.g., </w:t>
      </w:r>
      <w:r w:rsidRPr="0088408F">
        <w:rPr>
          <w:rFonts w:ascii="Cambria" w:hAnsi="Cambria" w:cs="Cambria"/>
          <w:noProof/>
          <w:lang w:val="en"/>
        </w:rPr>
        <w:t>Greenberg, Elder, &amp; Ledbetter, 1987</w:t>
      </w:r>
      <w:r>
        <w:rPr>
          <w:rFonts w:ascii="Cambria" w:hAnsi="Cambria" w:cs="Cambria"/>
          <w:lang w:val="en"/>
        </w:rPr>
        <w:t xml:space="preserve">], followed by the onset in early childhood of hyperphagia and obesity. This may relate to (amongst other factors) impaired satiety, with difficulties possibly underlain by altered function of the feeding pathways of the hypothalamus and/or altered regulation of genes related to energy balance [see </w:t>
      </w:r>
      <w:r w:rsidRPr="002A337F">
        <w:rPr>
          <w:rFonts w:ascii="Cambria" w:hAnsi="Cambria" w:cs="Cambria"/>
          <w:noProof/>
          <w:lang w:val="en"/>
        </w:rPr>
        <w:t>McAllister, Whittington, &amp; Holland, 2011</w:t>
      </w:r>
      <w:r>
        <w:rPr>
          <w:rFonts w:ascii="Cambria" w:hAnsi="Cambria" w:cs="Cambria"/>
          <w:lang w:val="en"/>
        </w:rPr>
        <w:t xml:space="preserve">, for a review]. A number of related behavioral difficulties typically become apparent, including preoccupation with food and behaviors such as taking </w:t>
      </w:r>
      <w:r>
        <w:rPr>
          <w:rFonts w:ascii="Cambria" w:hAnsi="Cambria" w:cs="Cambria"/>
          <w:noProof/>
          <w:lang w:val="en"/>
        </w:rPr>
        <w:t>[</w:t>
      </w:r>
      <w:r w:rsidR="001143D3" w:rsidRPr="00436307">
        <w:rPr>
          <w:rFonts w:ascii="Cambria" w:hAnsi="Cambria"/>
          <w:noProof/>
        </w:rPr>
        <w:t>Donaldson</w:t>
      </w:r>
      <w:r w:rsidR="001143D3">
        <w:rPr>
          <w:rFonts w:ascii="Cambria" w:hAnsi="Cambria"/>
          <w:noProof/>
        </w:rPr>
        <w:t>, Chu, Cooke, Wilson, Greene &amp; Stephenson</w:t>
      </w:r>
      <w:r w:rsidRPr="00274AB9">
        <w:rPr>
          <w:rFonts w:ascii="Cambria" w:hAnsi="Cambria" w:cs="Cambria"/>
          <w:noProof/>
          <w:lang w:val="en"/>
        </w:rPr>
        <w:t>, 1994</w:t>
      </w:r>
      <w:r>
        <w:rPr>
          <w:rFonts w:ascii="Cambria" w:hAnsi="Cambria" w:cs="Cambria"/>
          <w:lang w:val="en"/>
        </w:rPr>
        <w:t xml:space="preserve">] and hoarding </w:t>
      </w:r>
      <w:r>
        <w:rPr>
          <w:rFonts w:ascii="Cambria" w:hAnsi="Cambria" w:cs="Cambria"/>
          <w:noProof/>
          <w:lang w:val="en"/>
        </w:rPr>
        <w:t>[</w:t>
      </w:r>
      <w:r w:rsidRPr="00274AB9">
        <w:rPr>
          <w:rFonts w:ascii="Cambria" w:hAnsi="Cambria" w:cs="Cambria"/>
          <w:noProof/>
          <w:lang w:val="en"/>
        </w:rPr>
        <w:t>Dykens, Leckman, &amp; Cassidy, 1996</w:t>
      </w:r>
      <w:r>
        <w:rPr>
          <w:rFonts w:ascii="Cambria" w:hAnsi="Cambria" w:cs="Cambria"/>
          <w:lang w:val="en"/>
        </w:rPr>
        <w:t xml:space="preserve">] food items. </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noProof/>
          <w:lang w:val="en"/>
        </w:rPr>
        <w:t>Russell &amp; Oliver</w:t>
      </w:r>
      <w:r w:rsidRPr="00D563F5">
        <w:rPr>
          <w:rFonts w:ascii="Cambria" w:hAnsi="Cambria" w:cs="Cambria"/>
          <w:noProof/>
          <w:lang w:val="en"/>
        </w:rPr>
        <w:t xml:space="preserve"> </w:t>
      </w:r>
      <w:r w:rsidR="002C38ED">
        <w:rPr>
          <w:rFonts w:ascii="Cambria" w:hAnsi="Cambria" w:cs="Cambria"/>
          <w:noProof/>
          <w:lang w:val="en"/>
        </w:rPr>
        <w:t>[</w:t>
      </w:r>
      <w:r w:rsidRPr="00D563F5">
        <w:rPr>
          <w:rFonts w:ascii="Cambria" w:hAnsi="Cambria" w:cs="Cambria"/>
          <w:noProof/>
          <w:lang w:val="en"/>
        </w:rPr>
        <w:t>2003</w:t>
      </w:r>
      <w:r w:rsidR="002C38ED">
        <w:rPr>
          <w:rFonts w:ascii="Cambria" w:hAnsi="Cambria" w:cs="Cambria"/>
          <w:noProof/>
          <w:lang w:val="en"/>
        </w:rPr>
        <w:t>]</w:t>
      </w:r>
      <w:r>
        <w:rPr>
          <w:rFonts w:ascii="Cambria" w:hAnsi="Cambria" w:cs="Cambria"/>
          <w:lang w:val="en"/>
        </w:rPr>
        <w:t xml:space="preserve"> introduced the Food-Related Problems Questionnaire (FRPQ) to assess three dimensions of disordered eating in PWS: impaired satiety, preoccupation with food and composite negative behaviors. The composite negative behaviors scale can be subdivided into three areas: taking and/or storing food inappropriately, eating inedible items and responding in an inappropriate way when food is not available or is </w:t>
      </w:r>
      <w:r w:rsidR="00514D97">
        <w:rPr>
          <w:rFonts w:ascii="Cambria" w:hAnsi="Cambria" w:cs="Cambria"/>
          <w:lang w:val="en"/>
        </w:rPr>
        <w:t>restricted. Russell and Oliver [</w:t>
      </w:r>
      <w:r>
        <w:rPr>
          <w:rFonts w:ascii="Cambria" w:hAnsi="Cambria" w:cs="Cambria"/>
          <w:lang w:val="en"/>
        </w:rPr>
        <w:t>2003</w:t>
      </w:r>
      <w:r w:rsidR="00514D97">
        <w:rPr>
          <w:rFonts w:ascii="Cambria" w:hAnsi="Cambria" w:cs="Cambria"/>
          <w:lang w:val="en"/>
        </w:rPr>
        <w:t>]</w:t>
      </w:r>
      <w:r>
        <w:rPr>
          <w:rFonts w:ascii="Cambria" w:hAnsi="Cambria" w:cs="Cambria"/>
          <w:lang w:val="en"/>
        </w:rPr>
        <w:t xml:space="preserve"> reported that people with PWS displayed significantly higher scores on all subscales of this questionnaire than groups of people with similar levels of intellectual disability due to other causes.</w:t>
      </w:r>
    </w:p>
    <w:p w:rsidR="00C63DF0" w:rsidRDefault="00D05C53"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P</w:t>
      </w:r>
      <w:r w:rsidR="00BD0108">
        <w:rPr>
          <w:rFonts w:ascii="Cambria" w:hAnsi="Cambria" w:cs="Cambria"/>
          <w:lang w:val="en"/>
        </w:rPr>
        <w:t xml:space="preserve">henotypic food-related behaviors found in other syndrome groups remain </w:t>
      </w:r>
      <w:r w:rsidR="00BD0108">
        <w:rPr>
          <w:rFonts w:ascii="Cambria" w:hAnsi="Cambria" w:cs="Cambria"/>
          <w:lang w:val="en"/>
        </w:rPr>
        <w:lastRenderedPageBreak/>
        <w:t>relatively unexamined</w:t>
      </w:r>
      <w:r w:rsidR="00942A73">
        <w:rPr>
          <w:rFonts w:ascii="Cambria" w:hAnsi="Cambria" w:cs="Cambria"/>
          <w:lang w:val="en"/>
        </w:rPr>
        <w:t>,</w:t>
      </w:r>
      <w:r w:rsidR="00BD0108">
        <w:rPr>
          <w:rFonts w:ascii="Cambria" w:hAnsi="Cambria" w:cs="Cambria"/>
          <w:lang w:val="en"/>
        </w:rPr>
        <w:t xml:space="preserve"> despite the fact that in a number of other syndrome</w:t>
      </w:r>
      <w:r w:rsidR="00AB63EC">
        <w:rPr>
          <w:rFonts w:ascii="Cambria" w:hAnsi="Cambria" w:cs="Cambria"/>
          <w:lang w:val="en"/>
        </w:rPr>
        <w:t>s</w:t>
      </w:r>
      <w:r w:rsidR="00BD0108">
        <w:rPr>
          <w:rFonts w:ascii="Cambria" w:hAnsi="Cambria" w:cs="Cambria"/>
          <w:lang w:val="en"/>
        </w:rPr>
        <w:t xml:space="preserve"> there are reports of disordered eating behaviors, including some signs typically associated with PWS.</w:t>
      </w:r>
      <w:r w:rsidR="00D31FE5">
        <w:rPr>
          <w:rFonts w:ascii="Cambria" w:hAnsi="Cambria" w:cs="Cambria"/>
          <w:lang w:val="en"/>
        </w:rPr>
        <w:t xml:space="preserve"> </w:t>
      </w:r>
      <w:r w:rsidR="007D630A">
        <w:rPr>
          <w:rFonts w:ascii="Cambria" w:hAnsi="Cambria" w:cs="Cambria"/>
          <w:lang w:val="en"/>
        </w:rPr>
        <w:t xml:space="preserve">These groups include </w:t>
      </w:r>
      <w:r w:rsidR="00571C5C">
        <w:rPr>
          <w:rFonts w:ascii="Cambria" w:hAnsi="Cambria" w:cs="Cambria"/>
          <w:lang w:val="en"/>
        </w:rPr>
        <w:t>1p36 deletion syndrome</w:t>
      </w:r>
      <w:r w:rsidR="007D630A">
        <w:rPr>
          <w:rFonts w:ascii="Cambria" w:hAnsi="Cambria" w:cs="Cambria"/>
          <w:lang w:val="en"/>
        </w:rPr>
        <w:t>, in which clinical similarities with PWS have been noted</w:t>
      </w:r>
      <w:r w:rsidR="00571C5C">
        <w:rPr>
          <w:rFonts w:ascii="Cambria" w:hAnsi="Cambria" w:cs="Cambria"/>
          <w:lang w:val="en"/>
        </w:rPr>
        <w:t xml:space="preserve"> [e.g., </w:t>
      </w:r>
      <w:r w:rsidR="00571C5C">
        <w:rPr>
          <w:rFonts w:ascii="Cambria" w:hAnsi="Cambria"/>
          <w:noProof/>
        </w:rPr>
        <w:t>D’Angelo, Da Paz, Kim, Bertola, Castro, Varela &amp; Koiffmann, 2006</w:t>
      </w:r>
      <w:r w:rsidR="00571C5C" w:rsidRPr="00BC4E61">
        <w:rPr>
          <w:rFonts w:ascii="Cambria" w:hAnsi="Cambria" w:cs="Cambria"/>
          <w:noProof/>
          <w:lang w:val="en"/>
        </w:rPr>
        <w:t>; Tsuyusaki</w:t>
      </w:r>
      <w:r w:rsidR="00571C5C">
        <w:rPr>
          <w:rFonts w:ascii="Cambria" w:hAnsi="Cambria" w:cs="Cambria"/>
          <w:noProof/>
          <w:lang w:val="en"/>
        </w:rPr>
        <w:t xml:space="preserve"> </w:t>
      </w:r>
      <w:r w:rsidR="00571C5C" w:rsidRPr="00BC4E61">
        <w:rPr>
          <w:rFonts w:ascii="Cambria" w:hAnsi="Cambria" w:cs="Cambria"/>
          <w:noProof/>
          <w:lang w:val="en"/>
        </w:rPr>
        <w:t xml:space="preserve">, </w:t>
      </w:r>
      <w:r w:rsidR="00571C5C">
        <w:rPr>
          <w:rFonts w:ascii="Cambria" w:hAnsi="Cambria"/>
          <w:noProof/>
        </w:rPr>
        <w:t>Yoshihashi</w:t>
      </w:r>
      <w:r w:rsidR="00571C5C" w:rsidRPr="00436307">
        <w:rPr>
          <w:rFonts w:ascii="Cambria" w:hAnsi="Cambria"/>
          <w:noProof/>
        </w:rPr>
        <w:t>, Furu</w:t>
      </w:r>
      <w:r w:rsidR="00571C5C">
        <w:rPr>
          <w:rFonts w:ascii="Cambria" w:hAnsi="Cambria"/>
          <w:noProof/>
        </w:rPr>
        <w:t>ya, Adachi, Osaka</w:t>
      </w:r>
      <w:r w:rsidR="00571C5C" w:rsidRPr="00436307">
        <w:rPr>
          <w:rFonts w:ascii="Cambria" w:hAnsi="Cambria"/>
          <w:noProof/>
        </w:rPr>
        <w:t>, Yamamoto</w:t>
      </w:r>
      <w:r w:rsidR="00571C5C">
        <w:rPr>
          <w:rFonts w:ascii="Cambria" w:hAnsi="Cambria"/>
          <w:noProof/>
        </w:rPr>
        <w:t xml:space="preserve"> &amp; Kurosawa, </w:t>
      </w:r>
      <w:r w:rsidR="00571C5C" w:rsidRPr="00BC4E61">
        <w:rPr>
          <w:rFonts w:ascii="Cambria" w:hAnsi="Cambria" w:cs="Cambria"/>
          <w:noProof/>
          <w:lang w:val="en"/>
        </w:rPr>
        <w:t>2010</w:t>
      </w:r>
      <w:r w:rsidR="00571C5C">
        <w:rPr>
          <w:rFonts w:ascii="Cambria" w:hAnsi="Cambria" w:cs="Cambria"/>
          <w:lang w:val="en"/>
        </w:rPr>
        <w:t xml:space="preserve">; although see also </w:t>
      </w:r>
      <w:r w:rsidR="00571C5C" w:rsidRPr="00BC4E61">
        <w:rPr>
          <w:rFonts w:ascii="Cambria" w:hAnsi="Cambria" w:cs="Cambria"/>
          <w:noProof/>
          <w:lang w:val="en"/>
        </w:rPr>
        <w:t>Rodríguez, Mazzucato, &amp; Pina-Neto, 2008</w:t>
      </w:r>
      <w:r w:rsidR="00571C5C">
        <w:rPr>
          <w:rFonts w:ascii="Cambria" w:hAnsi="Cambria" w:cs="Cambria"/>
          <w:lang w:val="en"/>
        </w:rPr>
        <w:t>]</w:t>
      </w:r>
      <w:r w:rsidR="004064D8">
        <w:rPr>
          <w:rFonts w:ascii="Cambria" w:hAnsi="Cambria" w:cs="Cambria"/>
          <w:lang w:val="en"/>
        </w:rPr>
        <w:t>, and</w:t>
      </w:r>
      <w:r w:rsidR="00571C5C">
        <w:rPr>
          <w:rFonts w:ascii="Cambria" w:hAnsi="Cambria" w:cs="Cambria"/>
          <w:lang w:val="en"/>
        </w:rPr>
        <w:t xml:space="preserve"> fragile X Syndrome (FXS), </w:t>
      </w:r>
      <w:r w:rsidR="00104405">
        <w:rPr>
          <w:rFonts w:ascii="Cambria" w:hAnsi="Cambria" w:cs="Cambria"/>
          <w:lang w:val="en"/>
        </w:rPr>
        <w:t xml:space="preserve">some people with which are reported to display </w:t>
      </w:r>
      <w:r w:rsidR="00571C5C">
        <w:rPr>
          <w:rFonts w:ascii="Cambria" w:hAnsi="Cambria" w:cs="Cambria"/>
          <w:lang w:val="en"/>
        </w:rPr>
        <w:t>a ‘Prader-Willi Phenotype’, including obesity and hyperphagia [</w:t>
      </w:r>
      <w:r w:rsidR="00571C5C">
        <w:t>Nowicki, Tassone, Ono, Ferrant, Croquette, Goodlin-Jones &amp; Hagerman, 2007;</w:t>
      </w:r>
      <w:r w:rsidR="00571C5C">
        <w:rPr>
          <w:rFonts w:ascii="Cambria" w:hAnsi="Cambria" w:cs="Cambria"/>
          <w:lang w:val="en"/>
        </w:rPr>
        <w:t xml:space="preserve"> </w:t>
      </w:r>
      <w:r w:rsidR="00571C5C">
        <w:rPr>
          <w:rFonts w:ascii="Cambria" w:hAnsi="Cambria" w:cs="Cambria"/>
          <w:noProof/>
          <w:lang w:val="en"/>
        </w:rPr>
        <w:t xml:space="preserve">De Vries, </w:t>
      </w:r>
      <w:r w:rsidR="00571C5C">
        <w:rPr>
          <w:rFonts w:ascii="Cambria" w:hAnsi="Cambria"/>
          <w:noProof/>
        </w:rPr>
        <w:t>Fryns, Butler, Canziani, Wesby-van-Swaay, van-Hemel &amp; Oostra</w:t>
      </w:r>
      <w:r w:rsidR="00571C5C" w:rsidRPr="00FC660A">
        <w:rPr>
          <w:rFonts w:ascii="Cambria" w:hAnsi="Cambria" w:cs="Cambria"/>
          <w:noProof/>
          <w:lang w:val="en"/>
        </w:rPr>
        <w:t>, 1993</w:t>
      </w:r>
      <w:r w:rsidR="00571C5C">
        <w:rPr>
          <w:rFonts w:ascii="Cambria" w:hAnsi="Cambria" w:cs="Cambria"/>
          <w:lang w:val="en"/>
        </w:rPr>
        <w:t xml:space="preserve">]. </w:t>
      </w:r>
      <w:r w:rsidR="00583B81">
        <w:rPr>
          <w:rFonts w:ascii="Cambria" w:hAnsi="Cambria" w:cs="Cambria"/>
          <w:lang w:val="en"/>
        </w:rPr>
        <w:t xml:space="preserve">In addition, </w:t>
      </w:r>
      <w:r w:rsidR="00D222B9">
        <w:rPr>
          <w:rFonts w:ascii="Cambria" w:hAnsi="Cambria" w:cs="Cambria"/>
          <w:lang w:val="en"/>
        </w:rPr>
        <w:t xml:space="preserve">Angelman syndrome (AS) </w:t>
      </w:r>
      <w:r w:rsidR="00BD0108">
        <w:rPr>
          <w:rFonts w:ascii="Cambria" w:hAnsi="Cambria" w:cs="Cambria"/>
          <w:lang w:val="en"/>
        </w:rPr>
        <w:t xml:space="preserve">has been </w:t>
      </w:r>
      <w:r w:rsidR="005B5ECE">
        <w:rPr>
          <w:rFonts w:ascii="Cambria" w:hAnsi="Cambria" w:cs="Cambria"/>
          <w:lang w:val="en"/>
        </w:rPr>
        <w:t>reported</w:t>
      </w:r>
      <w:r w:rsidR="00BD0108">
        <w:rPr>
          <w:rFonts w:ascii="Cambria" w:hAnsi="Cambria" w:cs="Cambria"/>
          <w:lang w:val="en"/>
        </w:rPr>
        <w:t xml:space="preserve"> to be associated with food </w:t>
      </w:r>
      <w:r w:rsidR="00BD0108" w:rsidRPr="00B72FBF">
        <w:rPr>
          <w:rFonts w:ascii="Cambria" w:hAnsi="Cambria" w:cs="Cambria"/>
          <w:lang w:val="en"/>
        </w:rPr>
        <w:t>fads</w:t>
      </w:r>
      <w:r w:rsidR="00BD0108">
        <w:rPr>
          <w:rFonts w:ascii="Cambria" w:hAnsi="Cambria" w:cs="Cambria"/>
          <w:lang w:val="en"/>
        </w:rPr>
        <w:t>, gorging on or stealing food, eating non-food items [e.g.,</w:t>
      </w:r>
      <w:r w:rsidR="00BD0108" w:rsidRPr="005976C7">
        <w:rPr>
          <w:rFonts w:ascii="Cambria" w:hAnsi="Cambria" w:cs="Cambria"/>
          <w:noProof/>
          <w:lang w:val="en"/>
        </w:rPr>
        <w:t xml:space="preserve"> Berry, Leitner, Clarke, &amp; Einfeld, 2005</w:t>
      </w:r>
      <w:r w:rsidR="00BD0108">
        <w:rPr>
          <w:rFonts w:ascii="Cambria" w:hAnsi="Cambria" w:cs="Cambria"/>
          <w:lang w:val="en"/>
        </w:rPr>
        <w:t xml:space="preserve">], and obesity </w:t>
      </w:r>
      <w:r w:rsidR="00BD0108">
        <w:rPr>
          <w:rFonts w:ascii="Cambria" w:hAnsi="Cambria" w:cs="Cambria"/>
          <w:noProof/>
          <w:lang w:val="en"/>
        </w:rPr>
        <w:t>[</w:t>
      </w:r>
      <w:r w:rsidR="00BD0108" w:rsidRPr="005976C7">
        <w:rPr>
          <w:rFonts w:ascii="Cambria" w:hAnsi="Cambria" w:cs="Cambria"/>
          <w:noProof/>
          <w:lang w:val="en"/>
        </w:rPr>
        <w:t>Clayton-Smith, 1993</w:t>
      </w:r>
      <w:r w:rsidR="000F4161">
        <w:rPr>
          <w:rFonts w:ascii="Cambria" w:hAnsi="Cambria" w:cs="Cambria"/>
          <w:lang w:val="en"/>
        </w:rPr>
        <w:t>]</w:t>
      </w:r>
      <w:r w:rsidR="00BD0108">
        <w:rPr>
          <w:rFonts w:ascii="Cambria" w:hAnsi="Cambria" w:cs="Cambria"/>
          <w:lang w:val="en"/>
        </w:rPr>
        <w:t xml:space="preserve">, </w:t>
      </w:r>
      <w:r w:rsidR="00D222B9">
        <w:rPr>
          <w:rFonts w:ascii="Cambria" w:hAnsi="Cambria" w:cs="Cambria"/>
          <w:lang w:val="en"/>
        </w:rPr>
        <w:t>although</w:t>
      </w:r>
      <w:r w:rsidR="001F7F77">
        <w:rPr>
          <w:rFonts w:ascii="Cambria" w:hAnsi="Cambria" w:cs="Cambria"/>
          <w:lang w:val="en"/>
        </w:rPr>
        <w:t xml:space="preserve"> </w:t>
      </w:r>
      <w:r w:rsidR="00BD0108">
        <w:rPr>
          <w:rFonts w:ascii="Cambria" w:hAnsi="Cambria" w:cs="Cambria"/>
          <w:lang w:val="en"/>
        </w:rPr>
        <w:t>food-related behaviors have not received extensive or systematic study in this population</w:t>
      </w:r>
      <w:r w:rsidR="007A2B8E">
        <w:rPr>
          <w:rFonts w:ascii="Cambria" w:hAnsi="Cambria" w:cs="Cambria"/>
          <w:lang w:val="en"/>
        </w:rPr>
        <w:t xml:space="preserve">. </w:t>
      </w:r>
      <w:r w:rsidR="00D222B9">
        <w:rPr>
          <w:rFonts w:ascii="Cambria" w:hAnsi="Cambria" w:cs="Cambria"/>
          <w:lang w:val="en"/>
        </w:rPr>
        <w:t xml:space="preserve">AS has sometimes been regarded as a ‘sister imprinted disorder’ to PWS </w:t>
      </w:r>
      <w:r w:rsidR="00D222B9">
        <w:rPr>
          <w:rFonts w:ascii="Cambria" w:hAnsi="Cambria" w:cs="Cambria"/>
          <w:noProof/>
          <w:lang w:val="en"/>
        </w:rPr>
        <w:t>[</w:t>
      </w:r>
      <w:r w:rsidR="00D222B9" w:rsidRPr="00342D24">
        <w:rPr>
          <w:rFonts w:ascii="Cambria" w:hAnsi="Cambria" w:cs="Cambria"/>
          <w:noProof/>
          <w:lang w:val="en"/>
        </w:rPr>
        <w:t>Cassidy, Dykens, &amp; Williams, 2000</w:t>
      </w:r>
      <w:r w:rsidR="00D222B9">
        <w:rPr>
          <w:rFonts w:ascii="Cambria" w:hAnsi="Cambria" w:cs="Cambria"/>
          <w:lang w:val="en"/>
        </w:rPr>
        <w:t>] in that, whilst PWS is associated with a loss of (or loss of expression of) genetic material in the 15q11-q13 region of the paternally-derived chromosome 15q, AS is associated with loss in maternally-derived genetic material within the same region</w:t>
      </w:r>
      <w:r w:rsidR="0020366D">
        <w:rPr>
          <w:rFonts w:ascii="Cambria" w:hAnsi="Cambria" w:cs="Cambria"/>
          <w:lang w:val="en"/>
        </w:rPr>
        <w:t xml:space="preserve"> [Cassidy et al., 2000]. The substantial differences between the behavioral phenotypes of AS and PWS </w:t>
      </w:r>
      <w:r w:rsidR="00836CCD">
        <w:rPr>
          <w:rFonts w:ascii="Cambria" w:hAnsi="Cambria" w:cs="Cambria"/>
          <w:lang w:val="en"/>
        </w:rPr>
        <w:t xml:space="preserve">have been interpreted in the light of their </w:t>
      </w:r>
      <w:r w:rsidR="00F954A4">
        <w:rPr>
          <w:rFonts w:ascii="Cambria" w:hAnsi="Cambria" w:cs="Cambria"/>
          <w:lang w:val="en"/>
        </w:rPr>
        <w:t xml:space="preserve">respective paternal and maternal </w:t>
      </w:r>
      <w:r w:rsidR="006E6FDF">
        <w:rPr>
          <w:rFonts w:ascii="Cambria" w:hAnsi="Cambria" w:cs="Cambria"/>
          <w:lang w:val="en"/>
        </w:rPr>
        <w:t xml:space="preserve">genetic </w:t>
      </w:r>
      <w:r w:rsidR="00F954A4">
        <w:rPr>
          <w:rFonts w:ascii="Cambria" w:hAnsi="Cambria" w:cs="Cambria"/>
          <w:lang w:val="en"/>
        </w:rPr>
        <w:t>origins [</w:t>
      </w:r>
      <w:r w:rsidR="004F629A">
        <w:rPr>
          <w:rFonts w:ascii="Cambria" w:hAnsi="Cambria" w:cs="Cambria"/>
          <w:lang w:val="en"/>
        </w:rPr>
        <w:t>Haig &amp; Wharton, 2003; Haig, 2014].</w:t>
      </w:r>
    </w:p>
    <w:p w:rsidR="00EB40CC" w:rsidRDefault="00C32A91"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Comparisons between different genetic disorders are considered crucial to the development of understanding of behavioral phenotypes [e.g., </w:t>
      </w:r>
      <w:r w:rsidRPr="00C5552E">
        <w:rPr>
          <w:rFonts w:ascii="Cambria" w:hAnsi="Cambria" w:cs="Cambria"/>
          <w:noProof/>
          <w:lang w:val="en"/>
        </w:rPr>
        <w:t>Hodapp &amp; Dykens, 2001</w:t>
      </w:r>
      <w:r>
        <w:rPr>
          <w:rFonts w:ascii="Cambria" w:hAnsi="Cambria" w:cs="Cambria"/>
          <w:lang w:val="en"/>
        </w:rPr>
        <w:t xml:space="preserve">]. </w:t>
      </w:r>
      <w:r w:rsidR="00BD0108">
        <w:rPr>
          <w:rFonts w:ascii="Cambria" w:hAnsi="Cambria" w:cs="Cambria"/>
          <w:lang w:val="en"/>
        </w:rPr>
        <w:t xml:space="preserve">The aim of the present study was </w:t>
      </w:r>
      <w:r w:rsidR="00EB40CC">
        <w:rPr>
          <w:rFonts w:ascii="Cambria" w:hAnsi="Cambria" w:cs="Cambria"/>
          <w:lang w:val="en"/>
        </w:rPr>
        <w:t xml:space="preserve">therefore </w:t>
      </w:r>
      <w:r w:rsidR="00BD0108">
        <w:rPr>
          <w:rFonts w:ascii="Cambria" w:hAnsi="Cambria" w:cs="Cambria"/>
          <w:lang w:val="en"/>
        </w:rPr>
        <w:t>to examine the nature and extent of food-related behavior problems traditionally associated with PWS across a number of other syndrome grou</w:t>
      </w:r>
      <w:r w:rsidR="006C72E3">
        <w:rPr>
          <w:rFonts w:ascii="Cambria" w:hAnsi="Cambria" w:cs="Cambria"/>
          <w:lang w:val="en"/>
        </w:rPr>
        <w:t>ps – AS, 1p36 deletion syndrome and</w:t>
      </w:r>
      <w:r w:rsidR="00BD0108">
        <w:rPr>
          <w:rFonts w:ascii="Cambria" w:hAnsi="Cambria" w:cs="Cambria"/>
          <w:lang w:val="en"/>
        </w:rPr>
        <w:t xml:space="preserve"> F</w:t>
      </w:r>
      <w:r w:rsidR="006C72E3">
        <w:rPr>
          <w:rFonts w:ascii="Cambria" w:hAnsi="Cambria" w:cs="Cambria"/>
          <w:lang w:val="en"/>
        </w:rPr>
        <w:t>XS</w:t>
      </w:r>
      <w:r w:rsidR="00BD0108">
        <w:rPr>
          <w:rFonts w:ascii="Cambria" w:hAnsi="Cambria" w:cs="Cambria"/>
          <w:lang w:val="en"/>
        </w:rPr>
        <w:t xml:space="preserve"> – in relation to each other and </w:t>
      </w:r>
      <w:r w:rsidR="00BD0108">
        <w:rPr>
          <w:rFonts w:ascii="Cambria" w:hAnsi="Cambria" w:cs="Cambria"/>
          <w:lang w:val="en"/>
        </w:rPr>
        <w:lastRenderedPageBreak/>
        <w:t xml:space="preserve">in relation to a group of participants with PWS. </w:t>
      </w:r>
      <w:r w:rsidR="00CA4DFF">
        <w:rPr>
          <w:rFonts w:ascii="Cambria" w:hAnsi="Cambria" w:cs="Cambria"/>
          <w:lang w:val="en"/>
        </w:rPr>
        <w:t xml:space="preserve">A </w:t>
      </w:r>
      <w:r w:rsidR="005A6ADB">
        <w:rPr>
          <w:rFonts w:ascii="Cambria" w:hAnsi="Cambria" w:cs="Cambria"/>
          <w:lang w:val="en"/>
        </w:rPr>
        <w:t>f</w:t>
      </w:r>
      <w:r w:rsidR="00F85639">
        <w:rPr>
          <w:rFonts w:ascii="Cambria" w:hAnsi="Cambria" w:cs="Cambria"/>
          <w:lang w:val="en"/>
        </w:rPr>
        <w:t>u</w:t>
      </w:r>
      <w:r w:rsidR="005A6ADB">
        <w:rPr>
          <w:rFonts w:ascii="Cambria" w:hAnsi="Cambria" w:cs="Cambria"/>
          <w:lang w:val="en"/>
        </w:rPr>
        <w:t xml:space="preserve">rther </w:t>
      </w:r>
      <w:r w:rsidR="00CA4DFF">
        <w:rPr>
          <w:rFonts w:ascii="Cambria" w:hAnsi="Cambria" w:cs="Cambria"/>
          <w:lang w:val="en"/>
        </w:rPr>
        <w:t>comparison group of participant</w:t>
      </w:r>
      <w:r w:rsidR="00F6755C">
        <w:rPr>
          <w:rFonts w:ascii="Cambria" w:hAnsi="Cambria" w:cs="Cambria"/>
          <w:lang w:val="en"/>
        </w:rPr>
        <w:t>s</w:t>
      </w:r>
      <w:r w:rsidR="00CA4DFF">
        <w:rPr>
          <w:rFonts w:ascii="Cambria" w:hAnsi="Cambria" w:cs="Cambria"/>
          <w:lang w:val="en"/>
        </w:rPr>
        <w:t xml:space="preserve"> with </w:t>
      </w:r>
      <w:r w:rsidR="006C72E3">
        <w:rPr>
          <w:rFonts w:ascii="Cambria" w:hAnsi="Cambria" w:cs="Cambria"/>
          <w:lang w:val="en"/>
        </w:rPr>
        <w:t xml:space="preserve">Cornelia de Lange </w:t>
      </w:r>
      <w:r w:rsidR="00CA4DFF">
        <w:rPr>
          <w:rFonts w:ascii="Cambria" w:hAnsi="Cambria" w:cs="Cambria"/>
          <w:lang w:val="en"/>
        </w:rPr>
        <w:t xml:space="preserve">syndrome (CdLS) was </w:t>
      </w:r>
      <w:r w:rsidR="005A6ADB">
        <w:rPr>
          <w:rFonts w:ascii="Cambria" w:hAnsi="Cambria" w:cs="Cambria"/>
          <w:lang w:val="en"/>
        </w:rPr>
        <w:t xml:space="preserve">also </w:t>
      </w:r>
      <w:r w:rsidR="00CA4DFF">
        <w:rPr>
          <w:rFonts w:ascii="Cambria" w:hAnsi="Cambria" w:cs="Cambria"/>
          <w:lang w:val="en"/>
        </w:rPr>
        <w:t xml:space="preserve">included, since the behavioral phenotype of this syndrome </w:t>
      </w:r>
      <w:r w:rsidR="006C72E3">
        <w:rPr>
          <w:rFonts w:ascii="Cambria" w:hAnsi="Cambria" w:cs="Cambria"/>
          <w:lang w:val="en"/>
        </w:rPr>
        <w:t>[</w:t>
      </w:r>
      <w:r w:rsidR="00CA4DFF">
        <w:rPr>
          <w:rFonts w:ascii="Cambria" w:hAnsi="Cambria" w:cs="Cambria"/>
          <w:lang w:val="en"/>
        </w:rPr>
        <w:t xml:space="preserve">e.g., </w:t>
      </w:r>
      <w:r w:rsidR="006C72E3" w:rsidRPr="00845849">
        <w:rPr>
          <w:rFonts w:ascii="Cambria" w:hAnsi="Cambria" w:cs="Cambria"/>
          <w:noProof/>
          <w:lang w:val="en"/>
        </w:rPr>
        <w:t>Oliver, Arron, Hall, &amp; Sloneem, 2008</w:t>
      </w:r>
      <w:r w:rsidR="006C72E3">
        <w:rPr>
          <w:rFonts w:ascii="Cambria" w:hAnsi="Cambria" w:cs="Cambria"/>
          <w:lang w:val="en"/>
        </w:rPr>
        <w:t>]</w:t>
      </w:r>
      <w:r w:rsidR="00CA4DFF">
        <w:rPr>
          <w:rFonts w:ascii="Cambria" w:hAnsi="Cambria" w:cs="Cambria"/>
          <w:lang w:val="en"/>
        </w:rPr>
        <w:t xml:space="preserve"> is not commonly considered to include the types of problematic eating behaviors seen in PWS</w:t>
      </w:r>
      <w:r w:rsidR="006C72E3">
        <w:rPr>
          <w:rFonts w:ascii="Cambria" w:hAnsi="Cambria" w:cs="Cambria"/>
          <w:lang w:val="en"/>
        </w:rPr>
        <w:t xml:space="preserve"> </w:t>
      </w:r>
      <w:r w:rsidR="00CA4DFF">
        <w:rPr>
          <w:rFonts w:ascii="Cambria" w:hAnsi="Cambria" w:cs="Cambria"/>
          <w:lang w:val="en"/>
        </w:rPr>
        <w:t>(w</w:t>
      </w:r>
      <w:r w:rsidR="006C72E3">
        <w:rPr>
          <w:rFonts w:ascii="Cambria" w:hAnsi="Cambria" w:cs="Cambria"/>
          <w:lang w:val="en"/>
        </w:rPr>
        <w:t>hilst problems with feeding can be</w:t>
      </w:r>
      <w:r w:rsidR="00CA4DFF">
        <w:rPr>
          <w:rFonts w:ascii="Cambria" w:hAnsi="Cambria" w:cs="Cambria"/>
          <w:lang w:val="en"/>
        </w:rPr>
        <w:t xml:space="preserve"> major management issues</w:t>
      </w:r>
      <w:r w:rsidR="006C72E3">
        <w:rPr>
          <w:rFonts w:ascii="Cambria" w:hAnsi="Cambria" w:cs="Cambria"/>
          <w:lang w:val="en"/>
        </w:rPr>
        <w:t xml:space="preserve"> </w:t>
      </w:r>
      <w:r w:rsidR="00680BE8">
        <w:rPr>
          <w:rFonts w:ascii="Cambria" w:hAnsi="Cambria" w:cs="Cambria"/>
          <w:lang w:val="en"/>
        </w:rPr>
        <w:t xml:space="preserve">in </w:t>
      </w:r>
      <w:r w:rsidR="0018737A">
        <w:rPr>
          <w:rFonts w:ascii="Cambria" w:hAnsi="Cambria" w:cs="Cambria"/>
          <w:lang w:val="en"/>
        </w:rPr>
        <w:t xml:space="preserve">people with </w:t>
      </w:r>
      <w:r w:rsidR="00680BE8">
        <w:rPr>
          <w:rFonts w:ascii="Cambria" w:hAnsi="Cambria" w:cs="Cambria"/>
          <w:lang w:val="en"/>
        </w:rPr>
        <w:t xml:space="preserve">CdLS </w:t>
      </w:r>
      <w:r w:rsidR="006C72E3">
        <w:rPr>
          <w:rFonts w:ascii="Cambria" w:hAnsi="Cambria" w:cs="Cambria"/>
          <w:lang w:val="en"/>
        </w:rPr>
        <w:t>[</w:t>
      </w:r>
      <w:r w:rsidR="006C72E3" w:rsidRPr="00CB6066">
        <w:rPr>
          <w:rFonts w:ascii="Cambria" w:hAnsi="Cambria" w:cs="Cambria"/>
          <w:noProof/>
          <w:lang w:val="en"/>
        </w:rPr>
        <w:t>Hawley, Jackson, &amp; Kurnit, 1985</w:t>
      </w:r>
      <w:r w:rsidR="006C72E3">
        <w:rPr>
          <w:rFonts w:ascii="Cambria" w:hAnsi="Cambria" w:cs="Cambria"/>
          <w:lang w:val="en"/>
        </w:rPr>
        <w:t xml:space="preserve">], the types of difficulty reported in this syndrome group relate more to inadequate food intake, and to disorders of the digestive </w:t>
      </w:r>
      <w:r w:rsidR="0097772C">
        <w:rPr>
          <w:rFonts w:ascii="Cambria" w:hAnsi="Cambria" w:cs="Cambria"/>
          <w:lang w:val="en"/>
        </w:rPr>
        <w:t xml:space="preserve">tract, than to behavior problems related to excessive </w:t>
      </w:r>
      <w:r w:rsidR="00E81F61">
        <w:rPr>
          <w:rFonts w:ascii="Cambria" w:hAnsi="Cambria" w:cs="Cambria"/>
          <w:lang w:val="en"/>
        </w:rPr>
        <w:t xml:space="preserve">interest or </w:t>
      </w:r>
      <w:r w:rsidR="0097772C">
        <w:rPr>
          <w:rFonts w:ascii="Cambria" w:hAnsi="Cambria" w:cs="Cambria"/>
          <w:lang w:val="en"/>
        </w:rPr>
        <w:t>consumption)</w:t>
      </w:r>
      <w:r w:rsidR="006C72E3">
        <w:rPr>
          <w:rFonts w:ascii="Cambria" w:hAnsi="Cambria" w:cs="Cambria"/>
          <w:lang w:val="en"/>
        </w:rPr>
        <w:t>.</w:t>
      </w:r>
      <w:r w:rsidR="00985F05">
        <w:rPr>
          <w:rFonts w:ascii="Cambria" w:hAnsi="Cambria" w:cs="Cambria"/>
          <w:lang w:val="en"/>
        </w:rPr>
        <w:t xml:space="preserve"> </w:t>
      </w:r>
    </w:p>
    <w:p w:rsidR="00BD0108" w:rsidRDefault="00985F05"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We </w:t>
      </w:r>
      <w:r w:rsidR="00BD0108">
        <w:rPr>
          <w:rFonts w:ascii="Cambria" w:hAnsi="Cambria" w:cs="Cambria"/>
          <w:lang w:val="en"/>
        </w:rPr>
        <w:t xml:space="preserve">used the FRPQ </w:t>
      </w:r>
      <w:r w:rsidR="00BD0108">
        <w:rPr>
          <w:rFonts w:ascii="Cambria" w:hAnsi="Cambria" w:cs="Cambria"/>
          <w:noProof/>
          <w:lang w:val="en"/>
        </w:rPr>
        <w:t>[</w:t>
      </w:r>
      <w:r w:rsidR="00BD0108" w:rsidRPr="00954764">
        <w:rPr>
          <w:rFonts w:ascii="Cambria" w:hAnsi="Cambria" w:cs="Cambria"/>
          <w:noProof/>
          <w:lang w:val="en"/>
        </w:rPr>
        <w:t>Russell &amp; Oliver, 2003</w:t>
      </w:r>
      <w:r w:rsidR="00BD0108">
        <w:rPr>
          <w:rFonts w:ascii="Cambria" w:hAnsi="Cambria" w:cs="Cambria"/>
          <w:lang w:val="en"/>
        </w:rPr>
        <w:t>], a measure already established for use with people with PWS and known to have favorable psychometric properties, to assess a range of pro</w:t>
      </w:r>
      <w:r w:rsidR="008C3D21">
        <w:rPr>
          <w:rFonts w:ascii="Cambria" w:hAnsi="Cambria" w:cs="Cambria"/>
          <w:lang w:val="en"/>
        </w:rPr>
        <w:t xml:space="preserve">blematic food-related behaviors. </w:t>
      </w:r>
      <w:r w:rsidR="000D1C7C">
        <w:rPr>
          <w:rFonts w:ascii="Cambria" w:hAnsi="Cambria" w:cs="Cambria"/>
          <w:lang w:val="en"/>
        </w:rPr>
        <w:t xml:space="preserve">Whilst the FRPQ was developed </w:t>
      </w:r>
      <w:r w:rsidR="006605A3">
        <w:rPr>
          <w:rFonts w:ascii="Cambria" w:hAnsi="Cambria" w:cs="Cambria"/>
          <w:lang w:val="en"/>
        </w:rPr>
        <w:t xml:space="preserve">primarily </w:t>
      </w:r>
      <w:r w:rsidR="000D1C7C">
        <w:rPr>
          <w:rFonts w:ascii="Cambria" w:hAnsi="Cambria" w:cs="Cambria"/>
          <w:lang w:val="en"/>
        </w:rPr>
        <w:t>for use with people with PWS,</w:t>
      </w:r>
      <w:r w:rsidR="006605A3">
        <w:rPr>
          <w:rFonts w:ascii="Cambria" w:hAnsi="Cambria" w:cs="Cambria"/>
          <w:lang w:val="en"/>
        </w:rPr>
        <w:t xml:space="preserve"> </w:t>
      </w:r>
      <w:r w:rsidR="006F59E2">
        <w:rPr>
          <w:rFonts w:ascii="Cambria" w:hAnsi="Cambria" w:cs="Cambria"/>
          <w:lang w:val="en"/>
        </w:rPr>
        <w:t xml:space="preserve">a comparison group of people without PWS in residential care </w:t>
      </w:r>
      <w:r w:rsidR="00C93AA7">
        <w:rPr>
          <w:rFonts w:ascii="Cambria" w:hAnsi="Cambria" w:cs="Cambria"/>
          <w:lang w:val="en"/>
        </w:rPr>
        <w:t xml:space="preserve">was </w:t>
      </w:r>
      <w:r w:rsidR="00AB1C82">
        <w:rPr>
          <w:rFonts w:ascii="Cambria" w:hAnsi="Cambria" w:cs="Cambria"/>
          <w:lang w:val="en"/>
        </w:rPr>
        <w:t xml:space="preserve">also </w:t>
      </w:r>
      <w:r w:rsidR="00C93AA7">
        <w:rPr>
          <w:rFonts w:ascii="Cambria" w:hAnsi="Cambria" w:cs="Cambria"/>
          <w:lang w:val="en"/>
        </w:rPr>
        <w:t xml:space="preserve">used when establishing its </w:t>
      </w:r>
      <w:r w:rsidR="00C1790A">
        <w:rPr>
          <w:rFonts w:ascii="Cambria" w:hAnsi="Cambria" w:cs="Cambria"/>
          <w:lang w:val="en"/>
        </w:rPr>
        <w:t>psychometric properties</w:t>
      </w:r>
      <w:r w:rsidR="009C1997">
        <w:rPr>
          <w:rFonts w:ascii="Cambria" w:hAnsi="Cambria" w:cs="Cambria"/>
          <w:lang w:val="en"/>
        </w:rPr>
        <w:t xml:space="preserve"> (</w:t>
      </w:r>
      <w:r w:rsidR="00F30897">
        <w:t xml:space="preserve">which were </w:t>
      </w:r>
      <w:r w:rsidR="00F30897" w:rsidRPr="006E2BE9">
        <w:t xml:space="preserve">deemed sufficiently robust for use </w:t>
      </w:r>
      <w:r w:rsidR="00F30897">
        <w:t xml:space="preserve">of the instrument </w:t>
      </w:r>
      <w:r w:rsidR="00F30897" w:rsidRPr="006E2BE9">
        <w:t>in future research</w:t>
      </w:r>
      <w:r w:rsidR="009C1997">
        <w:rPr>
          <w:rFonts w:ascii="Cambria" w:hAnsi="Cambria" w:cs="Cambria"/>
          <w:lang w:val="en"/>
        </w:rPr>
        <w:t>)</w:t>
      </w:r>
      <w:r w:rsidR="00225DBF">
        <w:rPr>
          <w:rFonts w:ascii="Cambria" w:hAnsi="Cambria" w:cs="Cambria"/>
          <w:lang w:val="en"/>
        </w:rPr>
        <w:t xml:space="preserve"> [Russell &amp; Oliver, 2003]</w:t>
      </w:r>
      <w:r w:rsidR="00623D17">
        <w:rPr>
          <w:rFonts w:ascii="Cambria" w:hAnsi="Cambria" w:cs="Cambria"/>
          <w:lang w:val="en"/>
        </w:rPr>
        <w:t>.</w:t>
      </w:r>
      <w:r w:rsidR="006605A3">
        <w:rPr>
          <w:rFonts w:ascii="Cambria" w:hAnsi="Cambria" w:cs="Cambria"/>
          <w:lang w:val="en"/>
        </w:rPr>
        <w:t xml:space="preserve"> </w:t>
      </w:r>
      <w:r w:rsidR="00623D17">
        <w:rPr>
          <w:rFonts w:ascii="Cambria" w:hAnsi="Cambria" w:cs="Cambria"/>
          <w:lang w:val="en"/>
        </w:rPr>
        <w:t>I</w:t>
      </w:r>
      <w:r w:rsidR="001D3C63">
        <w:rPr>
          <w:rFonts w:ascii="Cambria" w:hAnsi="Cambria" w:cs="Cambria"/>
          <w:lang w:val="en"/>
        </w:rPr>
        <w:t>ts status as a</w:t>
      </w:r>
      <w:r w:rsidR="006605A3">
        <w:rPr>
          <w:rFonts w:ascii="Cambria" w:hAnsi="Cambria" w:cs="Cambria"/>
          <w:lang w:val="en"/>
        </w:rPr>
        <w:t xml:space="preserve">n informant report measure </w:t>
      </w:r>
      <w:r w:rsidR="00911F65">
        <w:rPr>
          <w:lang w:val="en"/>
        </w:rPr>
        <w:t>(in contrast with many</w:t>
      </w:r>
      <w:r w:rsidR="00447CDC">
        <w:rPr>
          <w:lang w:val="en"/>
        </w:rPr>
        <w:t xml:space="preserve"> other measures of disordered eating)</w:t>
      </w:r>
      <w:r w:rsidR="00447CDC" w:rsidRPr="00CA2AB7">
        <w:rPr>
          <w:lang w:val="en"/>
        </w:rPr>
        <w:t xml:space="preserve"> </w:t>
      </w:r>
      <w:r w:rsidR="006605A3">
        <w:rPr>
          <w:rFonts w:ascii="Cambria" w:hAnsi="Cambria" w:cs="Cambria"/>
          <w:lang w:val="en"/>
        </w:rPr>
        <w:t>makes</w:t>
      </w:r>
      <w:r w:rsidR="00F3658C">
        <w:rPr>
          <w:rFonts w:ascii="Cambria" w:hAnsi="Cambria" w:cs="Cambria"/>
          <w:lang w:val="en"/>
        </w:rPr>
        <w:t xml:space="preserve"> the FRPQ</w:t>
      </w:r>
      <w:r w:rsidR="006605A3">
        <w:rPr>
          <w:rFonts w:ascii="Cambria" w:hAnsi="Cambria" w:cs="Cambria"/>
          <w:lang w:val="en"/>
        </w:rPr>
        <w:t xml:space="preserve"> suitable for those with intellectual disabi</w:t>
      </w:r>
      <w:r w:rsidR="005E63CC">
        <w:rPr>
          <w:rFonts w:ascii="Cambria" w:hAnsi="Cambria" w:cs="Cambria"/>
          <w:lang w:val="en"/>
        </w:rPr>
        <w:t>lities</w:t>
      </w:r>
      <w:r w:rsidR="00E62750">
        <w:rPr>
          <w:rFonts w:ascii="Cambria" w:hAnsi="Cambria" w:cs="Cambria"/>
          <w:lang w:val="en"/>
        </w:rPr>
        <w:t xml:space="preserve"> of differing severities</w:t>
      </w:r>
      <w:r w:rsidR="006605A3">
        <w:rPr>
          <w:rFonts w:ascii="Cambria" w:hAnsi="Cambria" w:cs="Cambria"/>
          <w:lang w:val="en"/>
        </w:rPr>
        <w:t>.</w:t>
      </w:r>
    </w:p>
    <w:p w:rsidR="00BD0108" w:rsidRDefault="00214084" w:rsidP="00BD0108">
      <w:pPr>
        <w:widowControl w:val="0"/>
        <w:autoSpaceDE w:val="0"/>
        <w:autoSpaceDN w:val="0"/>
        <w:adjustRightInd w:val="0"/>
        <w:spacing w:line="480" w:lineRule="auto"/>
        <w:jc w:val="center"/>
        <w:rPr>
          <w:rFonts w:ascii="Cambria" w:hAnsi="Cambria" w:cs="Cambria"/>
          <w:b/>
          <w:lang w:val="en"/>
        </w:rPr>
      </w:pPr>
      <w:r>
        <w:rPr>
          <w:rFonts w:ascii="Cambria" w:hAnsi="Cambria" w:cs="Cambria"/>
          <w:b/>
          <w:lang w:val="en"/>
        </w:rPr>
        <w:t>MATERIALS AND METHODS</w:t>
      </w:r>
    </w:p>
    <w:p w:rsidR="00BD0108" w:rsidRDefault="00BD0108" w:rsidP="00BD0108">
      <w:pPr>
        <w:widowControl w:val="0"/>
        <w:autoSpaceDE w:val="0"/>
        <w:autoSpaceDN w:val="0"/>
        <w:adjustRightInd w:val="0"/>
        <w:spacing w:line="480" w:lineRule="auto"/>
        <w:rPr>
          <w:rFonts w:ascii="Cambria" w:hAnsi="Cambria" w:cs="Cambria"/>
          <w:b/>
          <w:lang w:val="en"/>
        </w:rPr>
      </w:pPr>
      <w:r>
        <w:rPr>
          <w:rFonts w:ascii="Cambria" w:hAnsi="Cambria" w:cs="Cambria"/>
          <w:b/>
          <w:lang w:val="en"/>
        </w:rPr>
        <w:t>Participants</w:t>
      </w:r>
    </w:p>
    <w:p w:rsidR="00BD0108" w:rsidRDefault="00BD0108" w:rsidP="0094152B">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A total of 729 participants, each with one of four genetic syndromes (127 Angelman (AS), 157 Cornelia de Lange (CdLS), 220 Fragile X (FXS), 204 Prader-Willi (PWS) syndromes), were contacted as part of a longitudinal follow-up study. </w:t>
      </w:r>
      <w:r w:rsidR="00673737">
        <w:rPr>
          <w:rFonts w:ascii="Cambria" w:hAnsi="Cambria" w:cs="Cambria"/>
          <w:lang w:val="en"/>
        </w:rPr>
        <w:t>These p</w:t>
      </w:r>
      <w:r w:rsidR="00B234E8">
        <w:rPr>
          <w:rFonts w:ascii="Cambria" w:hAnsi="Cambria" w:cs="Cambria"/>
          <w:lang w:val="en"/>
        </w:rPr>
        <w:t xml:space="preserve">articipants had initially been </w:t>
      </w:r>
      <w:r w:rsidR="001212FE">
        <w:rPr>
          <w:rFonts w:ascii="Cambria" w:hAnsi="Cambria" w:cs="Cambria"/>
          <w:lang w:val="en"/>
        </w:rPr>
        <w:t>contacted via relevant syndrome support groups</w:t>
      </w:r>
      <w:r w:rsidR="00715CA1">
        <w:rPr>
          <w:rFonts w:ascii="Cambria" w:hAnsi="Cambria" w:cs="Cambria"/>
          <w:lang w:val="en"/>
        </w:rPr>
        <w:t>, at which point</w:t>
      </w:r>
      <w:r w:rsidR="00E528E5">
        <w:rPr>
          <w:rFonts w:ascii="Cambria" w:hAnsi="Cambria" w:cs="Cambria"/>
          <w:lang w:val="en"/>
        </w:rPr>
        <w:t xml:space="preserve"> </w:t>
      </w:r>
      <w:r w:rsidR="00715CA1">
        <w:rPr>
          <w:rFonts w:ascii="Cambria" w:hAnsi="Cambria" w:cs="Cambria"/>
          <w:lang w:val="en"/>
        </w:rPr>
        <w:t>t</w:t>
      </w:r>
      <w:r w:rsidR="00E528E5">
        <w:rPr>
          <w:rFonts w:ascii="Cambria" w:hAnsi="Cambria" w:cs="Cambria"/>
          <w:lang w:val="en"/>
        </w:rPr>
        <w:t>he diagnosis of each partici</w:t>
      </w:r>
      <w:r w:rsidR="00B73F40">
        <w:rPr>
          <w:rFonts w:ascii="Cambria" w:hAnsi="Cambria" w:cs="Cambria"/>
          <w:lang w:val="en"/>
        </w:rPr>
        <w:t>pant was confirmed</w:t>
      </w:r>
      <w:r w:rsidR="00E528E5">
        <w:rPr>
          <w:rFonts w:ascii="Cambria" w:hAnsi="Cambria" w:cs="Cambria"/>
          <w:lang w:val="en"/>
        </w:rPr>
        <w:t xml:space="preserve"> by</w:t>
      </w:r>
      <w:r w:rsidR="00B73F40">
        <w:rPr>
          <w:rFonts w:ascii="Cambria" w:hAnsi="Cambria" w:cs="Cambria"/>
          <w:lang w:val="en"/>
        </w:rPr>
        <w:t xml:space="preserve"> information from</w:t>
      </w:r>
      <w:r w:rsidR="00E528E5">
        <w:rPr>
          <w:rFonts w:ascii="Cambria" w:hAnsi="Cambria" w:cs="Cambria"/>
          <w:lang w:val="en"/>
        </w:rPr>
        <w:t xml:space="preserve"> a </w:t>
      </w:r>
      <w:r w:rsidR="00BA4A93">
        <w:rPr>
          <w:rFonts w:ascii="Cambria" w:hAnsi="Cambria" w:cs="Cambria"/>
          <w:lang w:val="en"/>
        </w:rPr>
        <w:t>clinical geneticist, paediatrician, neuro</w:t>
      </w:r>
      <w:r w:rsidR="00485F50">
        <w:rPr>
          <w:rFonts w:ascii="Cambria" w:hAnsi="Cambria" w:cs="Cambria"/>
          <w:lang w:val="en"/>
        </w:rPr>
        <w:t>logist or general practitioner</w:t>
      </w:r>
      <w:r w:rsidR="001212FE">
        <w:rPr>
          <w:rFonts w:ascii="Cambria" w:hAnsi="Cambria" w:cs="Cambria"/>
          <w:lang w:val="en"/>
        </w:rPr>
        <w:t xml:space="preserve"> </w:t>
      </w:r>
      <w:r w:rsidR="008518D0">
        <w:rPr>
          <w:rFonts w:ascii="Cambria" w:hAnsi="Cambria" w:cs="Cambria"/>
          <w:lang w:val="en"/>
        </w:rPr>
        <w:t>[</w:t>
      </w:r>
      <w:r w:rsidR="00BA4A93">
        <w:rPr>
          <w:rFonts w:ascii="Cambria" w:hAnsi="Cambria" w:cs="Cambria"/>
          <w:lang w:val="en"/>
        </w:rPr>
        <w:t xml:space="preserve">for further </w:t>
      </w:r>
      <w:r w:rsidR="00BA4A93">
        <w:rPr>
          <w:rFonts w:ascii="Cambria" w:hAnsi="Cambria" w:cs="Cambria"/>
          <w:lang w:val="en"/>
        </w:rPr>
        <w:lastRenderedPageBreak/>
        <w:t xml:space="preserve">information about initial recruitment, see </w:t>
      </w:r>
      <w:r w:rsidR="00BA4A93" w:rsidRPr="009121C3">
        <w:rPr>
          <w:rFonts w:ascii="Cambria" w:hAnsi="Cambria" w:cs="Cambria"/>
          <w:noProof/>
          <w:lang w:val="en"/>
        </w:rPr>
        <w:t>Arron, Oliver, Moss, Berg, &amp; Burbidge, 2011</w:t>
      </w:r>
      <w:r w:rsidR="00BA4A93">
        <w:rPr>
          <w:rFonts w:ascii="Cambria" w:hAnsi="Cambria" w:cs="Cambria"/>
          <w:noProof/>
          <w:lang w:val="en"/>
        </w:rPr>
        <w:t xml:space="preserve">; </w:t>
      </w:r>
      <w:r w:rsidR="00BA4A93" w:rsidRPr="009121C3">
        <w:rPr>
          <w:rFonts w:ascii="Cambria" w:hAnsi="Cambria" w:cs="Cambria"/>
          <w:noProof/>
          <w:lang w:val="en"/>
        </w:rPr>
        <w:t>Burbidge</w:t>
      </w:r>
      <w:r w:rsidR="00BA4A93">
        <w:rPr>
          <w:rFonts w:ascii="Cambria" w:hAnsi="Cambria" w:cs="Cambria"/>
          <w:noProof/>
          <w:lang w:val="en"/>
        </w:rPr>
        <w:t>,</w:t>
      </w:r>
      <w:r w:rsidR="00BA4A93" w:rsidRPr="009121C3">
        <w:rPr>
          <w:rFonts w:ascii="Cambria" w:hAnsi="Cambria" w:cs="Cambria"/>
          <w:noProof/>
          <w:lang w:val="en"/>
        </w:rPr>
        <w:t xml:space="preserve"> </w:t>
      </w:r>
      <w:r w:rsidR="00BA4A93">
        <w:rPr>
          <w:rFonts w:ascii="Cambria" w:hAnsi="Cambria"/>
          <w:noProof/>
        </w:rPr>
        <w:t xml:space="preserve">Oliver, Moss, Arron, Berg, Furniss, Hill, Trussler &amp; Woodcock, </w:t>
      </w:r>
      <w:r w:rsidR="00BA4A93" w:rsidRPr="009121C3">
        <w:rPr>
          <w:rFonts w:ascii="Cambria" w:hAnsi="Cambria" w:cs="Cambria"/>
          <w:noProof/>
          <w:lang w:val="en"/>
        </w:rPr>
        <w:t>2010</w:t>
      </w:r>
      <w:r w:rsidR="00BA4A93">
        <w:rPr>
          <w:rFonts w:ascii="Cambria" w:hAnsi="Cambria" w:cs="Cambria"/>
          <w:lang w:val="en"/>
        </w:rPr>
        <w:t xml:space="preserve">; </w:t>
      </w:r>
      <w:r w:rsidR="00BA4A93" w:rsidRPr="00C16217">
        <w:rPr>
          <w:rFonts w:ascii="Cambria" w:hAnsi="Cambria" w:cs="Cambria"/>
          <w:noProof/>
          <w:lang w:val="en"/>
        </w:rPr>
        <w:t>Moss, Oliver, Arron, Burbridge, &amp; Berg, 2009</w:t>
      </w:r>
      <w:r w:rsidR="00BA4A93">
        <w:rPr>
          <w:rFonts w:ascii="Cambria" w:hAnsi="Cambria" w:cs="Cambria"/>
          <w:lang w:val="en"/>
        </w:rPr>
        <w:t xml:space="preserve">; </w:t>
      </w:r>
      <w:r w:rsidR="00BA4A93" w:rsidRPr="00C16217">
        <w:rPr>
          <w:rFonts w:ascii="Cambria" w:hAnsi="Cambria" w:cs="Cambria"/>
          <w:noProof/>
          <w:lang w:val="en"/>
        </w:rPr>
        <w:t>Oliver, Berg, Moss, Arron, &amp; Burbidge, 2011</w:t>
      </w:r>
      <w:r w:rsidR="008518D0">
        <w:rPr>
          <w:rFonts w:ascii="Cambria" w:hAnsi="Cambria" w:cs="Cambria"/>
          <w:noProof/>
          <w:lang w:val="en"/>
        </w:rPr>
        <w:t>]</w:t>
      </w:r>
      <w:r w:rsidR="00BA4A93">
        <w:rPr>
          <w:rFonts w:ascii="Cambria" w:hAnsi="Cambria" w:cs="Cambria"/>
          <w:noProof/>
          <w:lang w:val="en"/>
        </w:rPr>
        <w:t xml:space="preserve">. </w:t>
      </w:r>
      <w:r>
        <w:rPr>
          <w:rFonts w:ascii="Cambria" w:hAnsi="Cambria" w:cs="Cambria"/>
          <w:lang w:val="en"/>
        </w:rPr>
        <w:t>54 participants with 1p36 deletion syndrome were contacted through a syndrome support group</w:t>
      </w:r>
      <w:r w:rsidR="00BA473A">
        <w:rPr>
          <w:rFonts w:ascii="Cambria" w:hAnsi="Cambria" w:cs="Cambria"/>
          <w:lang w:val="en"/>
        </w:rPr>
        <w:t>, and their diagnoses were similarly confirmed by information from one of the professionals listed above</w:t>
      </w:r>
      <w:r w:rsidR="00C83C00">
        <w:rPr>
          <w:rFonts w:ascii="Cambria" w:hAnsi="Cambria" w:cs="Cambria"/>
          <w:lang w:val="en"/>
        </w:rPr>
        <w:t>.</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Return rates for syndrome groups were: 27.6% AS; 21.0% CdLS; 13.6% FXS; 18.1% PWS; 38.9% 1p36. In total, 156 participants took part in the current study, representing an overal</w:t>
      </w:r>
      <w:r w:rsidR="002A2B9D">
        <w:rPr>
          <w:rFonts w:ascii="Cambria" w:hAnsi="Cambria" w:cs="Cambria"/>
          <w:lang w:val="en"/>
        </w:rPr>
        <w:t xml:space="preserve">l return rate of 21.4 %. </w:t>
      </w:r>
      <w:r w:rsidR="00083587">
        <w:rPr>
          <w:rFonts w:ascii="Cambria" w:hAnsi="Cambria" w:cs="Cambria"/>
          <w:lang w:val="en"/>
        </w:rPr>
        <w:t>The data for</w:t>
      </w:r>
      <w:r w:rsidR="00DE66D2">
        <w:rPr>
          <w:rFonts w:ascii="Cambria" w:hAnsi="Cambria" w:cs="Cambria"/>
          <w:lang w:val="en"/>
        </w:rPr>
        <w:t xml:space="preserve"> four participants could not be analysed due to an insufficient number of completed questions</w:t>
      </w:r>
      <w:r w:rsidR="00F55B67">
        <w:rPr>
          <w:rFonts w:ascii="Cambria" w:hAnsi="Cambria" w:cs="Cambria"/>
          <w:lang w:val="en"/>
        </w:rPr>
        <w:t>, leaving a sample of 152</w:t>
      </w:r>
      <w:r w:rsidR="00DE66D2">
        <w:rPr>
          <w:rFonts w:ascii="Cambria" w:hAnsi="Cambria" w:cs="Cambria"/>
          <w:lang w:val="en"/>
        </w:rPr>
        <w:t xml:space="preserve">. </w:t>
      </w:r>
      <w:r w:rsidR="002A2B9D">
        <w:rPr>
          <w:rFonts w:ascii="Cambria" w:hAnsi="Cambria" w:cs="Cambria"/>
          <w:lang w:val="en"/>
        </w:rPr>
        <w:t>Table I</w:t>
      </w:r>
      <w:r>
        <w:rPr>
          <w:rFonts w:ascii="Cambria" w:hAnsi="Cambria" w:cs="Cambria"/>
          <w:lang w:val="en"/>
        </w:rPr>
        <w:t xml:space="preserve"> shows the number, age, gender distribution, mobility and verbal ability in participants across syndrome groups. </w:t>
      </w:r>
    </w:p>
    <w:p w:rsidR="00BD0108" w:rsidRDefault="00BD0108" w:rsidP="00BD0108">
      <w:pPr>
        <w:widowControl w:val="0"/>
        <w:autoSpaceDE w:val="0"/>
        <w:autoSpaceDN w:val="0"/>
        <w:adjustRightInd w:val="0"/>
        <w:spacing w:line="480" w:lineRule="auto"/>
        <w:rPr>
          <w:rFonts w:ascii="Cambria" w:hAnsi="Cambria" w:cs="Cambria"/>
          <w:b/>
          <w:bCs/>
          <w:lang w:val="en"/>
        </w:rPr>
      </w:pPr>
      <w:r>
        <w:rPr>
          <w:rFonts w:ascii="Cambria" w:hAnsi="Cambria" w:cs="Cambria"/>
          <w:b/>
          <w:bCs/>
          <w:lang w:val="en"/>
        </w:rPr>
        <w:t>Procedure</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Parents and carers of prospective participants received a pack containing a covering letter, information sheet, consent form, questionnaire set and prepaid envelope. They were asked to return completed questionnaires along with the consent form.  </w:t>
      </w:r>
    </w:p>
    <w:p w:rsidR="00BD0108" w:rsidRDefault="00BD0108" w:rsidP="00BD0108">
      <w:pPr>
        <w:widowControl w:val="0"/>
        <w:autoSpaceDE w:val="0"/>
        <w:autoSpaceDN w:val="0"/>
        <w:adjustRightInd w:val="0"/>
        <w:spacing w:line="480" w:lineRule="auto"/>
        <w:rPr>
          <w:rFonts w:ascii="Cambria" w:hAnsi="Cambria" w:cs="Cambria"/>
          <w:lang w:val="en"/>
        </w:rPr>
      </w:pPr>
      <w:r>
        <w:rPr>
          <w:rFonts w:ascii="Cambria" w:hAnsi="Cambria" w:cs="Cambria"/>
          <w:b/>
          <w:bCs/>
          <w:lang w:val="en"/>
        </w:rPr>
        <w:t xml:space="preserve">Measures </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Questionnaires administered to parents and carers included a demographic questionnaire, the Wessex Scale </w:t>
      </w:r>
      <w:r>
        <w:rPr>
          <w:rFonts w:ascii="Cambria" w:hAnsi="Cambria" w:cs="Cambria"/>
          <w:noProof/>
          <w:lang w:val="en"/>
        </w:rPr>
        <w:t>[</w:t>
      </w:r>
      <w:r w:rsidRPr="009D4C05">
        <w:rPr>
          <w:rFonts w:ascii="Cambria" w:hAnsi="Cambria" w:cs="Cambria"/>
          <w:noProof/>
          <w:lang w:val="en"/>
        </w:rPr>
        <w:t>Kuschlick, Blunden, &amp; Cox, 1973</w:t>
      </w:r>
      <w:r>
        <w:rPr>
          <w:rFonts w:ascii="Cambria" w:hAnsi="Cambria" w:cs="Cambria"/>
          <w:lang w:val="en"/>
        </w:rPr>
        <w:t>] and the Food Relat</w:t>
      </w:r>
      <w:r w:rsidR="001F6248">
        <w:rPr>
          <w:rFonts w:ascii="Cambria" w:hAnsi="Cambria" w:cs="Cambria"/>
          <w:lang w:val="en"/>
        </w:rPr>
        <w:t>ed Problems Questionnaire (FRPQ)</w:t>
      </w:r>
      <w:r>
        <w:rPr>
          <w:rFonts w:ascii="Cambria" w:hAnsi="Cambria" w:cs="Cambria"/>
          <w:lang w:val="en"/>
        </w:rPr>
        <w:t xml:space="preserve"> </w:t>
      </w:r>
      <w:r w:rsidR="001F6248">
        <w:rPr>
          <w:rFonts w:ascii="Cambria" w:hAnsi="Cambria" w:cs="Cambria"/>
          <w:lang w:val="en"/>
        </w:rPr>
        <w:t>[</w:t>
      </w:r>
      <w:r>
        <w:rPr>
          <w:rFonts w:ascii="Cambria" w:hAnsi="Cambria" w:cs="Cambria"/>
          <w:lang w:val="en"/>
        </w:rPr>
        <w:t>Russell &amp; Oliver, 2003].</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sidRPr="00FA7C14">
        <w:rPr>
          <w:rFonts w:ascii="Cambria" w:hAnsi="Cambria" w:cs="Cambria"/>
          <w:i/>
          <w:iCs/>
          <w:lang w:val="en"/>
        </w:rPr>
        <w:t>Demographic Questionnaire.</w:t>
      </w:r>
      <w:r>
        <w:rPr>
          <w:rFonts w:ascii="Cambria" w:hAnsi="Cambria" w:cs="Cambria"/>
          <w:i/>
          <w:iCs/>
          <w:lang w:val="en"/>
        </w:rPr>
        <w:t xml:space="preserve"> </w:t>
      </w:r>
      <w:r>
        <w:rPr>
          <w:rFonts w:ascii="Cambria" w:hAnsi="Cambria" w:cs="Cambria"/>
          <w:lang w:val="en"/>
        </w:rPr>
        <w:t xml:space="preserve">The demographic questionnaire assessed gender, age and diagnostic status as well as verbal ability and mobility. </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sidRPr="00FB1533">
        <w:rPr>
          <w:rFonts w:ascii="Cambria" w:hAnsi="Cambria" w:cs="Cambria"/>
          <w:i/>
          <w:iCs/>
          <w:lang w:val="da-DK"/>
        </w:rPr>
        <w:t xml:space="preserve">Wessex Scale </w:t>
      </w:r>
      <w:r>
        <w:rPr>
          <w:rFonts w:ascii="Cambria" w:hAnsi="Cambria" w:cs="Cambria"/>
          <w:lang w:val="da-DK"/>
        </w:rPr>
        <w:t>[</w:t>
      </w:r>
      <w:r w:rsidRPr="00FB1533">
        <w:rPr>
          <w:rFonts w:ascii="Cambria" w:hAnsi="Cambria" w:cs="Cambria"/>
          <w:lang w:val="da-DK"/>
        </w:rPr>
        <w:t>Kushlick et al</w:t>
      </w:r>
      <w:r w:rsidR="00C157C8">
        <w:rPr>
          <w:rFonts w:ascii="Cambria" w:hAnsi="Cambria" w:cs="Cambria"/>
          <w:lang w:val="da-DK"/>
        </w:rPr>
        <w:t>.</w:t>
      </w:r>
      <w:r w:rsidRPr="00FB1533">
        <w:rPr>
          <w:rFonts w:ascii="Cambria" w:hAnsi="Cambria" w:cs="Cambria"/>
          <w:lang w:val="da-DK"/>
        </w:rPr>
        <w:t>, 1973</w:t>
      </w:r>
      <w:r>
        <w:rPr>
          <w:rFonts w:ascii="Cambria" w:hAnsi="Cambria" w:cs="Cambria"/>
          <w:lang w:val="da-DK"/>
        </w:rPr>
        <w:t>]</w:t>
      </w:r>
      <w:r w:rsidRPr="00FB1533">
        <w:rPr>
          <w:rFonts w:ascii="Cambria" w:hAnsi="Cambria" w:cs="Cambria"/>
          <w:lang w:val="da-DK"/>
        </w:rPr>
        <w:t xml:space="preserve">. </w:t>
      </w:r>
      <w:r>
        <w:rPr>
          <w:rFonts w:ascii="Cambria" w:hAnsi="Cambria" w:cs="Cambria"/>
          <w:lang w:val="en"/>
        </w:rPr>
        <w:t xml:space="preserve">The Wessex Scale assessed social and physical abilities in individuals with intellectual disabilities. Subscales include mobility, </w:t>
      </w:r>
      <w:r>
        <w:rPr>
          <w:rFonts w:ascii="Cambria" w:hAnsi="Cambria" w:cs="Cambria"/>
          <w:lang w:val="en"/>
        </w:rPr>
        <w:lastRenderedPageBreak/>
        <w:t>self-help skills, continence and literacy skills. This scale has good inter-rater reliability at subscale level [Kushlick et al</w:t>
      </w:r>
      <w:r w:rsidR="00C157C8">
        <w:rPr>
          <w:rFonts w:ascii="Cambria" w:hAnsi="Cambria" w:cs="Cambria"/>
          <w:lang w:val="en"/>
        </w:rPr>
        <w:t>.</w:t>
      </w:r>
      <w:r>
        <w:rPr>
          <w:rFonts w:ascii="Cambria" w:hAnsi="Cambria" w:cs="Cambria"/>
          <w:lang w:val="en"/>
        </w:rPr>
        <w:t xml:space="preserve">, 1973]. The self-help score on the Wessex scale can be used as an estimate of an individual’s level of intellectual disability [e.g., </w:t>
      </w:r>
      <w:r w:rsidRPr="00283676">
        <w:rPr>
          <w:rFonts w:ascii="Cambria" w:hAnsi="Cambria" w:cs="Cambria"/>
          <w:noProof/>
          <w:lang w:val="en"/>
        </w:rPr>
        <w:t>Oliver</w:t>
      </w:r>
      <w:r w:rsidR="00C157C8">
        <w:rPr>
          <w:rFonts w:ascii="Cambria" w:hAnsi="Cambria" w:cs="Cambria"/>
          <w:noProof/>
          <w:lang w:val="en"/>
        </w:rPr>
        <w:t>, Arron, Hall &amp; Sloneem</w:t>
      </w:r>
      <w:r w:rsidRPr="00283676">
        <w:rPr>
          <w:rFonts w:ascii="Cambria" w:hAnsi="Cambria" w:cs="Cambria"/>
          <w:noProof/>
          <w:lang w:val="en"/>
        </w:rPr>
        <w:t>, 2008</w:t>
      </w:r>
      <w:r>
        <w:rPr>
          <w:rFonts w:ascii="Cambria" w:hAnsi="Cambria" w:cs="Cambria"/>
          <w:lang w:val="en"/>
        </w:rPr>
        <w:t>].</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i/>
          <w:iCs/>
          <w:lang w:val="en"/>
        </w:rPr>
        <w:t xml:space="preserve">Food Related Problems Questionnaire </w:t>
      </w:r>
      <w:r>
        <w:rPr>
          <w:rFonts w:ascii="Cambria" w:hAnsi="Cambria" w:cs="Cambria"/>
          <w:lang w:val="en"/>
        </w:rPr>
        <w:t xml:space="preserve">[Russell &amp; Oliver, 2003]. The FRPQ is an informant-based questionnaire to assess the presence of food related issues in people with PWS. This is a 16-item questionnaire </w:t>
      </w:r>
      <w:r w:rsidR="008C1B0D">
        <w:rPr>
          <w:rFonts w:ascii="Cambria" w:hAnsi="Cambria" w:cs="Cambria"/>
          <w:lang w:val="en"/>
        </w:rPr>
        <w:t>split</w:t>
      </w:r>
      <w:r>
        <w:rPr>
          <w:rFonts w:ascii="Cambria" w:hAnsi="Cambria" w:cs="Cambria"/>
          <w:lang w:val="en"/>
        </w:rPr>
        <w:t xml:space="preserve"> into three subscales: impaired satiety (score range 0-30), preoccupation with food (score range 0-18) and composite negative behaviors (score range 0-48). The negative behavior composite can be further subdivided into ‘takes and stores food’ (score range 0-18), ‘eats inedible items’ (score range 0-12) and ‘inappropriate behavior’ (score range 0-18) subcategories. Items are scored on a 7 point likert scale ranging from 0 (never) to 6 (always) representing the frequency of a given behavior. Three items require reverse scoring and scores for the preoccupation with food and impaired satiety subscales require prorating for non-verbal individuals, for whom scoring is not possible on some items. Subscale test-retest reliability and inter-rater reliability are acceptable and internal consistency was reported at .86 using Chronbach’s alpha coefficient. This scale has been shown to have good criterion validity; participants</w:t>
      </w:r>
      <w:r w:rsidR="00E90BB9">
        <w:rPr>
          <w:rFonts w:ascii="Cambria" w:hAnsi="Cambria" w:cs="Cambria"/>
          <w:lang w:val="en"/>
        </w:rPr>
        <w:t xml:space="preserve"> with PWS</w:t>
      </w:r>
      <w:r>
        <w:rPr>
          <w:rFonts w:ascii="Cambria" w:hAnsi="Cambria" w:cs="Cambria"/>
          <w:lang w:val="en"/>
        </w:rPr>
        <w:t xml:space="preserve"> score consistently higher on all subscales than a cohort of individuals with intellectual disability without the syndrome [Russell &amp; Oliver, 2003].</w:t>
      </w:r>
    </w:p>
    <w:p w:rsidR="00BD0108" w:rsidRDefault="00BD0108" w:rsidP="00BD0108">
      <w:pPr>
        <w:widowControl w:val="0"/>
        <w:autoSpaceDE w:val="0"/>
        <w:autoSpaceDN w:val="0"/>
        <w:adjustRightInd w:val="0"/>
        <w:spacing w:line="480" w:lineRule="auto"/>
        <w:rPr>
          <w:rFonts w:ascii="Cambria" w:hAnsi="Cambria" w:cs="Cambria"/>
          <w:b/>
          <w:bCs/>
          <w:lang w:val="en"/>
        </w:rPr>
      </w:pPr>
      <w:r>
        <w:rPr>
          <w:rFonts w:ascii="Cambria" w:hAnsi="Cambria" w:cs="Cambria"/>
          <w:b/>
          <w:bCs/>
          <w:lang w:val="en"/>
        </w:rPr>
        <w:t>Data Analysis</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One way analyses of </w:t>
      </w:r>
      <w:r w:rsidR="00F201F7">
        <w:rPr>
          <w:rFonts w:ascii="Cambria" w:hAnsi="Cambria" w:cs="Cambria"/>
          <w:lang w:val="en"/>
        </w:rPr>
        <w:t>co</w:t>
      </w:r>
      <w:r>
        <w:rPr>
          <w:rFonts w:ascii="Cambria" w:hAnsi="Cambria" w:cs="Cambria"/>
          <w:lang w:val="en"/>
        </w:rPr>
        <w:t>variance (AN</w:t>
      </w:r>
      <w:r w:rsidR="00311F33">
        <w:rPr>
          <w:rFonts w:ascii="Cambria" w:hAnsi="Cambria" w:cs="Cambria"/>
          <w:lang w:val="en"/>
        </w:rPr>
        <w:t>C</w:t>
      </w:r>
      <w:r>
        <w:rPr>
          <w:rFonts w:ascii="Cambria" w:hAnsi="Cambria" w:cs="Cambria"/>
          <w:lang w:val="en"/>
        </w:rPr>
        <w:t>OVAs) were conducted to identify differences in subscale scores on the FRPQ between sy</w:t>
      </w:r>
      <w:r w:rsidR="00A00EDA">
        <w:rPr>
          <w:rFonts w:ascii="Cambria" w:hAnsi="Cambria" w:cs="Cambria"/>
          <w:lang w:val="en"/>
        </w:rPr>
        <w:t>ndrome groups</w:t>
      </w:r>
      <w:r>
        <w:rPr>
          <w:rFonts w:ascii="Cambria" w:hAnsi="Cambria" w:cs="Cambria"/>
          <w:lang w:val="en"/>
        </w:rPr>
        <w:t>. Subscale scores were included as dependent variables, with syndrome group (5 levels) as an independent variable.</w:t>
      </w:r>
      <w:r w:rsidR="008F4920">
        <w:rPr>
          <w:rFonts w:ascii="Cambria" w:hAnsi="Cambria" w:cs="Cambria"/>
          <w:lang w:val="en"/>
        </w:rPr>
        <w:t xml:space="preserve"> </w:t>
      </w:r>
      <w:r w:rsidR="00886CAC">
        <w:rPr>
          <w:rFonts w:ascii="Cambria" w:hAnsi="Cambria" w:cs="Cambria"/>
          <w:lang w:val="en"/>
        </w:rPr>
        <w:t xml:space="preserve">Age was included as a covariate and gender as a fixed factor in all </w:t>
      </w:r>
      <w:r w:rsidR="005E5F5E">
        <w:rPr>
          <w:rFonts w:ascii="Cambria" w:hAnsi="Cambria" w:cs="Cambria"/>
          <w:lang w:val="en"/>
        </w:rPr>
        <w:lastRenderedPageBreak/>
        <w:t>ANCOVAs</w:t>
      </w:r>
      <w:r w:rsidR="00886CAC">
        <w:rPr>
          <w:rFonts w:ascii="Cambria" w:hAnsi="Cambria" w:cs="Cambria"/>
          <w:lang w:val="en"/>
        </w:rPr>
        <w:t xml:space="preserve">. </w:t>
      </w:r>
      <w:r w:rsidR="008F4920">
        <w:rPr>
          <w:rFonts w:ascii="Cambria" w:hAnsi="Cambria" w:cs="Cambria"/>
          <w:lang w:val="en"/>
        </w:rPr>
        <w:t xml:space="preserve">Planned between-group contrasts were run using </w:t>
      </w:r>
      <w:r w:rsidR="00C232D1">
        <w:rPr>
          <w:rFonts w:ascii="Cambria" w:hAnsi="Cambria" w:cs="Cambria"/>
          <w:lang w:val="en"/>
        </w:rPr>
        <w:t>B</w:t>
      </w:r>
      <w:r w:rsidR="008F4920">
        <w:rPr>
          <w:rFonts w:ascii="Cambria" w:hAnsi="Cambria" w:cs="Cambria"/>
          <w:lang w:val="en"/>
        </w:rPr>
        <w:t xml:space="preserve">onferroni corrections. </w:t>
      </w:r>
      <w:r w:rsidR="0013197C">
        <w:rPr>
          <w:rFonts w:ascii="Cambria" w:hAnsi="Cambria" w:cs="Cambria"/>
          <w:lang w:val="en"/>
        </w:rPr>
        <w:t>Since FXS is X-linked, and thus much more common in males than females, ANCOVAs were repeated without inclusion of gender as a covariate</w:t>
      </w:r>
      <w:r w:rsidR="00863F0A">
        <w:rPr>
          <w:rFonts w:ascii="Cambria" w:hAnsi="Cambria" w:cs="Cambria"/>
          <w:lang w:val="en"/>
        </w:rPr>
        <w:t xml:space="preserve"> to assess for between-group differences for the FXS group </w:t>
      </w:r>
    </w:p>
    <w:p w:rsidR="00311F33" w:rsidRDefault="00BD0108" w:rsidP="003E3E7F">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AN</w:t>
      </w:r>
      <w:r w:rsidR="006A562A">
        <w:rPr>
          <w:rFonts w:ascii="Cambria" w:hAnsi="Cambria" w:cs="Cambria"/>
          <w:lang w:val="en"/>
        </w:rPr>
        <w:t>C</w:t>
      </w:r>
      <w:r>
        <w:rPr>
          <w:rFonts w:ascii="Cambria" w:hAnsi="Cambria" w:cs="Cambria"/>
          <w:lang w:val="en"/>
        </w:rPr>
        <w:t>OVAs</w:t>
      </w:r>
      <w:r w:rsidR="004E3302">
        <w:rPr>
          <w:rFonts w:ascii="Cambria" w:hAnsi="Cambria" w:cs="Cambria"/>
          <w:lang w:val="en"/>
        </w:rPr>
        <w:t xml:space="preserve"> (and </w:t>
      </w:r>
      <w:r w:rsidR="00E52DF4">
        <w:rPr>
          <w:rFonts w:ascii="Cambria" w:hAnsi="Cambria" w:cs="Cambria"/>
          <w:lang w:val="en"/>
        </w:rPr>
        <w:t>B</w:t>
      </w:r>
      <w:r w:rsidR="004E3302">
        <w:rPr>
          <w:rFonts w:ascii="Cambria" w:hAnsi="Cambria" w:cs="Cambria"/>
          <w:lang w:val="en"/>
        </w:rPr>
        <w:t>onferroni-corrected between group contrasts)</w:t>
      </w:r>
      <w:r>
        <w:rPr>
          <w:rFonts w:ascii="Cambria" w:hAnsi="Cambria" w:cs="Cambria"/>
          <w:lang w:val="en"/>
        </w:rPr>
        <w:t xml:space="preserve"> were </w:t>
      </w:r>
      <w:r w:rsidR="00B27013">
        <w:rPr>
          <w:rFonts w:ascii="Cambria" w:hAnsi="Cambria" w:cs="Cambria"/>
          <w:lang w:val="en"/>
        </w:rPr>
        <w:t xml:space="preserve">also </w:t>
      </w:r>
      <w:r>
        <w:rPr>
          <w:rFonts w:ascii="Cambria" w:hAnsi="Cambria" w:cs="Cambria"/>
          <w:lang w:val="en"/>
        </w:rPr>
        <w:t xml:space="preserve">run including the self-help score on the Wessex scale (which can be used as an estimate of intellectual </w:t>
      </w:r>
      <w:r w:rsidR="00C33C46">
        <w:rPr>
          <w:rFonts w:ascii="Cambria" w:hAnsi="Cambria" w:cs="Cambria"/>
          <w:lang w:val="en"/>
        </w:rPr>
        <w:t>disability</w:t>
      </w:r>
      <w:r>
        <w:rPr>
          <w:rFonts w:ascii="Cambria" w:hAnsi="Cambria" w:cs="Cambria"/>
          <w:lang w:val="en"/>
        </w:rPr>
        <w:t xml:space="preserve"> </w:t>
      </w:r>
      <w:r w:rsidR="00C33C46">
        <w:rPr>
          <w:rFonts w:ascii="Cambria" w:hAnsi="Cambria" w:cs="Cambria"/>
          <w:lang w:val="en"/>
        </w:rPr>
        <w:t>[</w:t>
      </w:r>
      <w:r w:rsidR="00963829">
        <w:rPr>
          <w:rFonts w:ascii="Cambria" w:hAnsi="Cambria" w:cs="Cambria"/>
          <w:lang w:val="en"/>
        </w:rPr>
        <w:t xml:space="preserve">e.g., Oliver et al., </w:t>
      </w:r>
      <w:r>
        <w:rPr>
          <w:rFonts w:ascii="Cambria" w:hAnsi="Cambria" w:cs="Cambria"/>
          <w:lang w:val="en"/>
        </w:rPr>
        <w:t>2008</w:t>
      </w:r>
      <w:r w:rsidR="00C33C46">
        <w:rPr>
          <w:rFonts w:ascii="Cambria" w:hAnsi="Cambria" w:cs="Cambria"/>
          <w:lang w:val="en"/>
        </w:rPr>
        <w:t>]</w:t>
      </w:r>
      <w:r>
        <w:rPr>
          <w:rFonts w:ascii="Cambria" w:hAnsi="Cambria" w:cs="Cambria"/>
          <w:lang w:val="en"/>
        </w:rPr>
        <w:t xml:space="preserve">) as a covariate. </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In addition to analyses assessing differences between groups in their mean scores on the subscales, </w:t>
      </w:r>
      <w:r w:rsidR="005A1EE5">
        <w:rPr>
          <w:rFonts w:ascii="Cambria" w:hAnsi="Cambria" w:cs="Cambria"/>
          <w:lang w:val="en"/>
        </w:rPr>
        <w:t xml:space="preserve">we </w:t>
      </w:r>
      <w:r w:rsidR="001F1CBB">
        <w:rPr>
          <w:rFonts w:ascii="Cambria" w:hAnsi="Cambria" w:cs="Cambria"/>
          <w:lang w:val="en"/>
        </w:rPr>
        <w:t>ascertained</w:t>
      </w:r>
      <w:r>
        <w:rPr>
          <w:rFonts w:ascii="Cambria" w:hAnsi="Cambria" w:cs="Cambria"/>
          <w:lang w:val="en"/>
        </w:rPr>
        <w:t xml:space="preserve"> the proportions of participants in the AS, 1p36, FXS and CdLS groups whose scores </w:t>
      </w:r>
      <w:r w:rsidR="00691575">
        <w:rPr>
          <w:rFonts w:ascii="Cambria" w:hAnsi="Cambria" w:cs="Cambria"/>
          <w:lang w:val="en"/>
        </w:rPr>
        <w:t xml:space="preserve">indicated </w:t>
      </w:r>
      <w:r>
        <w:rPr>
          <w:rFonts w:ascii="Cambria" w:hAnsi="Cambria" w:cs="Cambria"/>
          <w:lang w:val="en"/>
        </w:rPr>
        <w:t xml:space="preserve">levels of problematic food-related behavior </w:t>
      </w:r>
      <w:r w:rsidR="00427B5C">
        <w:rPr>
          <w:rFonts w:ascii="Cambria" w:hAnsi="Cambria" w:cs="Cambria"/>
          <w:lang w:val="en"/>
        </w:rPr>
        <w:t>similar to</w:t>
      </w:r>
      <w:r w:rsidR="00AD6E59">
        <w:rPr>
          <w:rFonts w:ascii="Cambria" w:hAnsi="Cambria" w:cs="Cambria"/>
          <w:lang w:val="en"/>
        </w:rPr>
        <w:t xml:space="preserve"> or</w:t>
      </w:r>
      <w:r w:rsidR="00427B5C">
        <w:rPr>
          <w:rFonts w:ascii="Cambria" w:hAnsi="Cambria" w:cs="Cambria"/>
          <w:lang w:val="en"/>
        </w:rPr>
        <w:t xml:space="preserve"> exceeding</w:t>
      </w:r>
      <w:r w:rsidR="00C90BD5">
        <w:rPr>
          <w:rFonts w:ascii="Cambria" w:hAnsi="Cambria" w:cs="Cambria"/>
          <w:lang w:val="en"/>
        </w:rPr>
        <w:t xml:space="preserve"> what might be expected of people with PWS. </w:t>
      </w:r>
      <w:r>
        <w:rPr>
          <w:rFonts w:ascii="Cambria" w:hAnsi="Cambria" w:cs="Cambria"/>
          <w:lang w:val="en"/>
        </w:rPr>
        <w:t>50</w:t>
      </w:r>
      <w:r w:rsidRPr="00E273DC">
        <w:rPr>
          <w:rFonts w:ascii="Cambria" w:hAnsi="Cambria" w:cs="Cambria"/>
          <w:vertAlign w:val="superscript"/>
          <w:lang w:val="en"/>
        </w:rPr>
        <w:t>th</w:t>
      </w:r>
      <w:r w:rsidR="00320C34">
        <w:rPr>
          <w:rFonts w:ascii="Cambria" w:hAnsi="Cambria" w:cs="Cambria"/>
          <w:vertAlign w:val="superscript"/>
          <w:lang w:val="en"/>
        </w:rPr>
        <w:t xml:space="preserve"> </w:t>
      </w:r>
      <w:r>
        <w:rPr>
          <w:rFonts w:ascii="Cambria" w:hAnsi="Cambria" w:cs="Cambria"/>
          <w:lang w:val="en"/>
        </w:rPr>
        <w:t xml:space="preserve">percentile </w:t>
      </w:r>
      <w:r w:rsidR="007A1EB4">
        <w:rPr>
          <w:rFonts w:ascii="Cambria" w:hAnsi="Cambria" w:cs="Cambria"/>
          <w:lang w:val="en"/>
        </w:rPr>
        <w:t>(</w:t>
      </w:r>
      <w:r w:rsidR="006F0480">
        <w:rPr>
          <w:rFonts w:ascii="Cambria" w:hAnsi="Cambria" w:cs="Cambria"/>
          <w:lang w:val="en"/>
        </w:rPr>
        <w:t xml:space="preserve">i.e., </w:t>
      </w:r>
      <w:r w:rsidR="007A1EB4">
        <w:rPr>
          <w:rFonts w:ascii="Cambria" w:hAnsi="Cambria" w:cs="Cambria"/>
          <w:lang w:val="en"/>
        </w:rPr>
        <w:t xml:space="preserve">median) </w:t>
      </w:r>
      <w:r>
        <w:rPr>
          <w:rFonts w:ascii="Cambria" w:hAnsi="Cambria" w:cs="Cambria"/>
          <w:lang w:val="en"/>
        </w:rPr>
        <w:t xml:space="preserve">cut-off points were identified within the distribution of PWS scores, on each subscale of the FRPQ. The proportions of each of the remaining four syndrome groups attaining scores </w:t>
      </w:r>
      <w:r w:rsidR="007C7A5C">
        <w:rPr>
          <w:rFonts w:ascii="Cambria" w:hAnsi="Cambria" w:cs="Cambria"/>
          <w:lang w:val="en"/>
        </w:rPr>
        <w:t xml:space="preserve">at or </w:t>
      </w:r>
      <w:r w:rsidR="00216EE3">
        <w:rPr>
          <w:rFonts w:ascii="Cambria" w:hAnsi="Cambria" w:cs="Cambria"/>
          <w:lang w:val="en"/>
        </w:rPr>
        <w:t xml:space="preserve">above the median for the PWS group </w:t>
      </w:r>
      <w:r>
        <w:rPr>
          <w:rFonts w:ascii="Cambria" w:hAnsi="Cambria" w:cs="Cambria"/>
          <w:lang w:val="en"/>
        </w:rPr>
        <w:t>were identified, and these were compared using Chi square analys</w:t>
      </w:r>
      <w:r w:rsidR="000150AA">
        <w:rPr>
          <w:rFonts w:ascii="Cambria" w:hAnsi="Cambria" w:cs="Cambria"/>
          <w:lang w:val="en"/>
        </w:rPr>
        <w:t>e</w:t>
      </w:r>
      <w:r>
        <w:rPr>
          <w:rFonts w:ascii="Cambria" w:hAnsi="Cambria" w:cs="Cambria"/>
          <w:lang w:val="en"/>
        </w:rPr>
        <w:t xml:space="preserve">s. </w:t>
      </w:r>
    </w:p>
    <w:p w:rsidR="00BD0108" w:rsidRDefault="006312F8" w:rsidP="00BD0108">
      <w:pPr>
        <w:widowControl w:val="0"/>
        <w:autoSpaceDE w:val="0"/>
        <w:autoSpaceDN w:val="0"/>
        <w:adjustRightInd w:val="0"/>
        <w:spacing w:line="480" w:lineRule="auto"/>
        <w:jc w:val="center"/>
        <w:rPr>
          <w:rFonts w:ascii="Cambria" w:hAnsi="Cambria" w:cs="Cambria"/>
          <w:b/>
          <w:bCs/>
          <w:lang w:val="en"/>
        </w:rPr>
      </w:pPr>
      <w:r>
        <w:rPr>
          <w:rFonts w:ascii="Cambria" w:hAnsi="Cambria" w:cs="Cambria"/>
          <w:b/>
          <w:bCs/>
          <w:lang w:val="en"/>
        </w:rPr>
        <w:t>RESULTS</w:t>
      </w:r>
    </w:p>
    <w:p w:rsidR="00BD0108" w:rsidRDefault="00642190" w:rsidP="00BD0108">
      <w:pPr>
        <w:widowControl w:val="0"/>
        <w:autoSpaceDE w:val="0"/>
        <w:autoSpaceDN w:val="0"/>
        <w:adjustRightInd w:val="0"/>
        <w:spacing w:line="480" w:lineRule="auto"/>
        <w:rPr>
          <w:rFonts w:ascii="Cambria" w:hAnsi="Cambria" w:cs="Cambria"/>
          <w:b/>
          <w:bCs/>
          <w:lang w:val="en"/>
        </w:rPr>
      </w:pPr>
      <w:r>
        <w:rPr>
          <w:rFonts w:ascii="Cambria" w:hAnsi="Cambria" w:cs="Cambria"/>
          <w:b/>
          <w:bCs/>
          <w:lang w:val="en"/>
        </w:rPr>
        <w:t>Basic</w:t>
      </w:r>
      <w:r w:rsidR="00BD0108">
        <w:rPr>
          <w:rFonts w:ascii="Cambria" w:hAnsi="Cambria" w:cs="Cambria"/>
          <w:b/>
          <w:bCs/>
          <w:lang w:val="en"/>
        </w:rPr>
        <w:t xml:space="preserve"> Characteristics of sample</w:t>
      </w:r>
    </w:p>
    <w:p w:rsidR="00BD0108" w:rsidRDefault="00651147"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Data</w:t>
      </w:r>
      <w:r w:rsidR="00BD0108">
        <w:rPr>
          <w:rFonts w:ascii="Cambria" w:hAnsi="Cambria" w:cs="Cambria"/>
          <w:lang w:val="en"/>
        </w:rPr>
        <w:t xml:space="preserve"> </w:t>
      </w:r>
      <w:r w:rsidR="00A778D3">
        <w:rPr>
          <w:rFonts w:ascii="Cambria" w:hAnsi="Cambria" w:cs="Cambria"/>
          <w:lang w:val="en"/>
        </w:rPr>
        <w:t xml:space="preserve">summarising age, gender, mobility and verbal ability </w:t>
      </w:r>
      <w:r w:rsidR="00BD0108">
        <w:rPr>
          <w:rFonts w:ascii="Cambria" w:hAnsi="Cambria" w:cs="Cambria"/>
          <w:lang w:val="en"/>
        </w:rPr>
        <w:t xml:space="preserve">for </w:t>
      </w:r>
      <w:r w:rsidR="00A778D3">
        <w:rPr>
          <w:rFonts w:ascii="Cambria" w:hAnsi="Cambria" w:cs="Cambria"/>
          <w:lang w:val="en"/>
        </w:rPr>
        <w:t xml:space="preserve">each </w:t>
      </w:r>
      <w:r w:rsidR="00BD0108">
        <w:rPr>
          <w:rFonts w:ascii="Cambria" w:hAnsi="Cambria" w:cs="Cambria"/>
          <w:lang w:val="en"/>
        </w:rPr>
        <w:t>syndrome</w:t>
      </w:r>
      <w:r w:rsidR="002A2B9D">
        <w:rPr>
          <w:rFonts w:ascii="Cambria" w:hAnsi="Cambria" w:cs="Cambria"/>
          <w:lang w:val="en"/>
        </w:rPr>
        <w:t xml:space="preserve"> group are presented in Table I</w:t>
      </w:r>
      <w:r w:rsidR="00BD0108">
        <w:rPr>
          <w:rFonts w:ascii="Cambria" w:hAnsi="Cambria" w:cs="Cambria"/>
          <w:lang w:val="en"/>
        </w:rPr>
        <w:t>. Where significant differences were identified between groups</w:t>
      </w:r>
      <w:r w:rsidR="000126E0">
        <w:rPr>
          <w:rFonts w:ascii="Cambria" w:hAnsi="Cambria" w:cs="Cambria"/>
          <w:lang w:val="en"/>
        </w:rPr>
        <w:t xml:space="preserve"> (in age, mobility and verbal ability)</w:t>
      </w:r>
      <w:r w:rsidR="00BD0108">
        <w:rPr>
          <w:rFonts w:ascii="Cambria" w:hAnsi="Cambria" w:cs="Cambria"/>
          <w:lang w:val="en"/>
        </w:rPr>
        <w:t>, post hoc contrasts were performed; the results o</w:t>
      </w:r>
      <w:r w:rsidR="002A2B9D">
        <w:rPr>
          <w:rFonts w:ascii="Cambria" w:hAnsi="Cambria" w:cs="Cambria"/>
          <w:lang w:val="en"/>
        </w:rPr>
        <w:t>f these are displayed in Table II</w:t>
      </w:r>
      <w:r w:rsidR="002A670E">
        <w:rPr>
          <w:rFonts w:ascii="Cambria" w:hAnsi="Cambria" w:cs="Cambria"/>
          <w:lang w:val="en"/>
        </w:rPr>
        <w:t xml:space="preserve">, alongside </w:t>
      </w:r>
      <w:r w:rsidR="00ED1E10">
        <w:rPr>
          <w:rFonts w:ascii="Cambria" w:hAnsi="Cambria" w:cs="Cambria"/>
          <w:lang w:val="en"/>
        </w:rPr>
        <w:t xml:space="preserve">the </w:t>
      </w:r>
      <w:r w:rsidR="002A670E">
        <w:rPr>
          <w:rFonts w:ascii="Cambria" w:hAnsi="Cambria" w:cs="Cambria"/>
          <w:lang w:val="en"/>
        </w:rPr>
        <w:t>self-help ability</w:t>
      </w:r>
      <w:r w:rsidR="00ED1E10">
        <w:rPr>
          <w:rFonts w:ascii="Cambria" w:hAnsi="Cambria" w:cs="Cambria"/>
          <w:lang w:val="en"/>
        </w:rPr>
        <w:t xml:space="preserve"> of the groups</w:t>
      </w:r>
      <w:r w:rsidR="00BD0108">
        <w:rPr>
          <w:rFonts w:ascii="Cambria" w:hAnsi="Cambria" w:cs="Cambria"/>
          <w:lang w:val="en"/>
        </w:rPr>
        <w:t>.</w:t>
      </w:r>
      <w:r w:rsidR="00FF5819">
        <w:rPr>
          <w:rFonts w:ascii="Cambria" w:hAnsi="Cambria" w:cs="Cambria"/>
          <w:lang w:val="en"/>
        </w:rPr>
        <w:t xml:space="preserve"> </w:t>
      </w:r>
      <w:r w:rsidR="009644CE">
        <w:rPr>
          <w:rFonts w:ascii="Cambria" w:hAnsi="Cambria" w:cs="Cambria"/>
          <w:lang w:val="en"/>
        </w:rPr>
        <w:t>Significant group</w:t>
      </w:r>
      <w:r w:rsidR="002A670E">
        <w:rPr>
          <w:rFonts w:ascii="Cambria" w:hAnsi="Cambria" w:cs="Cambria"/>
          <w:lang w:val="en"/>
        </w:rPr>
        <w:t xml:space="preserve"> differences are in keeping with known characteristics of the syndrome groups</w:t>
      </w:r>
      <w:r w:rsidR="00FF0752">
        <w:rPr>
          <w:rFonts w:ascii="Cambria" w:hAnsi="Cambria" w:cs="Cambria"/>
          <w:lang w:val="en"/>
        </w:rPr>
        <w:t>.</w:t>
      </w:r>
    </w:p>
    <w:p w:rsidR="00624578" w:rsidRDefault="00BD0108" w:rsidP="00BD0108">
      <w:pPr>
        <w:widowControl w:val="0"/>
        <w:autoSpaceDE w:val="0"/>
        <w:autoSpaceDN w:val="0"/>
        <w:adjustRightInd w:val="0"/>
        <w:spacing w:line="480" w:lineRule="auto"/>
        <w:rPr>
          <w:rFonts w:ascii="Cambria" w:hAnsi="Cambria" w:cs="Cambria"/>
          <w:b/>
          <w:bCs/>
          <w:lang w:val="en"/>
        </w:rPr>
      </w:pPr>
      <w:r>
        <w:rPr>
          <w:rFonts w:ascii="Cambria" w:hAnsi="Cambria" w:cs="Cambria"/>
          <w:b/>
          <w:bCs/>
          <w:lang w:val="en"/>
        </w:rPr>
        <w:t>F</w:t>
      </w:r>
      <w:r w:rsidR="00C7303D">
        <w:rPr>
          <w:rFonts w:ascii="Cambria" w:hAnsi="Cambria" w:cs="Cambria"/>
          <w:b/>
          <w:bCs/>
          <w:lang w:val="en"/>
        </w:rPr>
        <w:t xml:space="preserve">ood </w:t>
      </w:r>
      <w:r>
        <w:rPr>
          <w:rFonts w:ascii="Cambria" w:hAnsi="Cambria" w:cs="Cambria"/>
          <w:b/>
          <w:bCs/>
          <w:lang w:val="en"/>
        </w:rPr>
        <w:t>R</w:t>
      </w:r>
      <w:r w:rsidR="00C7303D">
        <w:rPr>
          <w:rFonts w:ascii="Cambria" w:hAnsi="Cambria" w:cs="Cambria"/>
          <w:b/>
          <w:bCs/>
          <w:lang w:val="en"/>
        </w:rPr>
        <w:t xml:space="preserve">elated </w:t>
      </w:r>
      <w:r>
        <w:rPr>
          <w:rFonts w:ascii="Cambria" w:hAnsi="Cambria" w:cs="Cambria"/>
          <w:b/>
          <w:bCs/>
          <w:lang w:val="en"/>
        </w:rPr>
        <w:t>P</w:t>
      </w:r>
      <w:r w:rsidR="00C7303D">
        <w:rPr>
          <w:rFonts w:ascii="Cambria" w:hAnsi="Cambria" w:cs="Cambria"/>
          <w:b/>
          <w:bCs/>
          <w:lang w:val="en"/>
        </w:rPr>
        <w:t xml:space="preserve">roblems </w:t>
      </w:r>
      <w:r>
        <w:rPr>
          <w:rFonts w:ascii="Cambria" w:hAnsi="Cambria" w:cs="Cambria"/>
          <w:b/>
          <w:bCs/>
          <w:lang w:val="en"/>
        </w:rPr>
        <w:t>Q</w:t>
      </w:r>
      <w:r w:rsidR="00C7303D">
        <w:rPr>
          <w:rFonts w:ascii="Cambria" w:hAnsi="Cambria" w:cs="Cambria"/>
          <w:b/>
          <w:bCs/>
          <w:lang w:val="en"/>
        </w:rPr>
        <w:t>uestionnaire</w:t>
      </w:r>
      <w:r>
        <w:rPr>
          <w:rFonts w:ascii="Cambria" w:hAnsi="Cambria" w:cs="Cambria"/>
          <w:b/>
          <w:bCs/>
          <w:lang w:val="en"/>
        </w:rPr>
        <w:t xml:space="preserve"> scores</w:t>
      </w:r>
      <w:r w:rsidR="00624578">
        <w:rPr>
          <w:rFonts w:ascii="Cambria" w:hAnsi="Cambria" w:cs="Cambria"/>
          <w:b/>
          <w:bCs/>
          <w:lang w:val="en"/>
        </w:rPr>
        <w:t xml:space="preserve"> </w:t>
      </w:r>
    </w:p>
    <w:p w:rsidR="00624578" w:rsidRPr="00D34BCC" w:rsidRDefault="00624578" w:rsidP="00BD0108">
      <w:pPr>
        <w:widowControl w:val="0"/>
        <w:autoSpaceDE w:val="0"/>
        <w:autoSpaceDN w:val="0"/>
        <w:adjustRightInd w:val="0"/>
        <w:spacing w:line="480" w:lineRule="auto"/>
        <w:rPr>
          <w:rFonts w:ascii="Cambria" w:hAnsi="Cambria" w:cs="Cambria"/>
          <w:bCs/>
          <w:i/>
          <w:u w:val="single"/>
          <w:lang w:val="en"/>
        </w:rPr>
      </w:pPr>
      <w:r w:rsidRPr="00D34BCC">
        <w:rPr>
          <w:rFonts w:ascii="Cambria" w:hAnsi="Cambria" w:cs="Cambria"/>
          <w:bCs/>
          <w:i/>
          <w:u w:val="single"/>
          <w:lang w:val="en"/>
        </w:rPr>
        <w:t>Initial analysis</w:t>
      </w:r>
      <w:r w:rsidR="007A6917" w:rsidRPr="00D34BCC">
        <w:rPr>
          <w:rFonts w:ascii="Cambria" w:hAnsi="Cambria" w:cs="Cambria"/>
          <w:bCs/>
          <w:i/>
          <w:u w:val="single"/>
          <w:lang w:val="en"/>
        </w:rPr>
        <w:t xml:space="preserve"> – simple assessment of group differences</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lastRenderedPageBreak/>
        <w:t>Means and standard deviations on FRPQ subscales in the fi</w:t>
      </w:r>
      <w:r w:rsidR="00792EE0">
        <w:rPr>
          <w:rFonts w:ascii="Cambria" w:hAnsi="Cambria" w:cs="Cambria"/>
          <w:lang w:val="en"/>
        </w:rPr>
        <w:t xml:space="preserve">ve groups can be seen in </w:t>
      </w:r>
      <w:r>
        <w:rPr>
          <w:rFonts w:ascii="Cambria" w:hAnsi="Cambria" w:cs="Cambria"/>
          <w:lang w:val="en"/>
        </w:rPr>
        <w:t>Figure 1. There were significant differences between syndrome groups on measures of ‘preoccupation with food’ [</w:t>
      </w:r>
      <w:r>
        <w:rPr>
          <w:rFonts w:ascii="Cambria" w:hAnsi="Cambria" w:cs="Cambria"/>
          <w:i/>
          <w:iCs/>
          <w:lang w:val="en"/>
        </w:rPr>
        <w:t>F</w:t>
      </w:r>
      <w:r>
        <w:rPr>
          <w:rFonts w:ascii="Cambria" w:hAnsi="Cambria" w:cs="Cambria"/>
          <w:lang w:val="en"/>
        </w:rPr>
        <w:t>(4,14</w:t>
      </w:r>
      <w:r w:rsidR="00D741B6">
        <w:rPr>
          <w:rFonts w:ascii="Cambria" w:hAnsi="Cambria" w:cs="Cambria"/>
          <w:lang w:val="en"/>
        </w:rPr>
        <w:t>1</w:t>
      </w:r>
      <w:r>
        <w:rPr>
          <w:rFonts w:ascii="Cambria" w:hAnsi="Cambria" w:cs="Cambria"/>
          <w:lang w:val="en"/>
        </w:rPr>
        <w:t>)=</w:t>
      </w:r>
      <w:r w:rsidR="004627CE">
        <w:rPr>
          <w:rFonts w:ascii="Cambria" w:hAnsi="Cambria" w:cs="Cambria"/>
          <w:lang w:val="en"/>
        </w:rPr>
        <w:t xml:space="preserve"> </w:t>
      </w:r>
      <w:r w:rsidR="008B3C5C">
        <w:rPr>
          <w:rFonts w:ascii="Cambria" w:hAnsi="Cambria" w:cs="Cambria"/>
          <w:lang w:val="en"/>
        </w:rPr>
        <w:t>14</w:t>
      </w:r>
      <w:r w:rsidR="00D741B6">
        <w:rPr>
          <w:rFonts w:ascii="Cambria" w:hAnsi="Cambria" w:cs="Cambria"/>
          <w:lang w:val="en"/>
        </w:rPr>
        <w:t>.52</w:t>
      </w:r>
      <w:r>
        <w:rPr>
          <w:rFonts w:ascii="Cambria" w:hAnsi="Cambria" w:cs="Cambria"/>
          <w:lang w:val="en"/>
        </w:rPr>
        <w:t xml:space="preserve">, </w:t>
      </w:r>
      <w:r>
        <w:rPr>
          <w:rFonts w:ascii="Cambria" w:hAnsi="Cambria" w:cs="Cambria"/>
          <w:i/>
          <w:iCs/>
          <w:lang w:val="en"/>
        </w:rPr>
        <w:t>p</w:t>
      </w:r>
      <w:r>
        <w:rPr>
          <w:rFonts w:ascii="Cambria" w:hAnsi="Cambria" w:cs="Cambria"/>
          <w:lang w:val="en"/>
        </w:rPr>
        <w:t xml:space="preserve"> &lt; .001] and ‘impaired satiety’ [</w:t>
      </w:r>
      <w:r>
        <w:rPr>
          <w:rFonts w:ascii="Cambria" w:hAnsi="Cambria" w:cs="Cambria"/>
          <w:i/>
          <w:iCs/>
          <w:lang w:val="en"/>
        </w:rPr>
        <w:t>F</w:t>
      </w:r>
      <w:r>
        <w:rPr>
          <w:rFonts w:ascii="Cambria" w:hAnsi="Cambria" w:cs="Cambria"/>
          <w:lang w:val="en"/>
        </w:rPr>
        <w:t xml:space="preserve">(4,138) = </w:t>
      </w:r>
      <w:r w:rsidR="00E10C54">
        <w:rPr>
          <w:rFonts w:ascii="Cambria" w:hAnsi="Cambria" w:cs="Cambria"/>
          <w:lang w:val="en"/>
        </w:rPr>
        <w:t>5.90</w:t>
      </w:r>
      <w:r>
        <w:rPr>
          <w:rFonts w:ascii="Cambria" w:hAnsi="Cambria" w:cs="Cambria"/>
          <w:lang w:val="en"/>
        </w:rPr>
        <w:t xml:space="preserve">, </w:t>
      </w:r>
      <w:r>
        <w:rPr>
          <w:rFonts w:ascii="Cambria" w:hAnsi="Cambria" w:cs="Cambria"/>
          <w:i/>
          <w:iCs/>
          <w:lang w:val="en"/>
        </w:rPr>
        <w:t>p</w:t>
      </w:r>
      <w:r>
        <w:rPr>
          <w:rFonts w:ascii="Cambria" w:hAnsi="Cambria" w:cs="Cambria"/>
          <w:lang w:val="en"/>
        </w:rPr>
        <w:t xml:space="preserve"> &lt; .001</w:t>
      </w:r>
      <w:r w:rsidR="001D5541">
        <w:rPr>
          <w:rFonts w:ascii="Cambria" w:hAnsi="Cambria" w:cs="Cambria"/>
          <w:lang w:val="en"/>
        </w:rPr>
        <w:t>]</w:t>
      </w:r>
      <w:r>
        <w:rPr>
          <w:rFonts w:ascii="Cambria" w:hAnsi="Cambria" w:cs="Cambria"/>
          <w:lang w:val="en"/>
        </w:rPr>
        <w:t>. ‘Composite negative behavior’ also differed significantly across syndrome groups [</w:t>
      </w:r>
      <w:r>
        <w:rPr>
          <w:rFonts w:ascii="Cambria" w:hAnsi="Cambria" w:cs="Cambria"/>
          <w:i/>
          <w:iCs/>
          <w:lang w:val="en"/>
        </w:rPr>
        <w:t>F</w:t>
      </w:r>
      <w:r>
        <w:rPr>
          <w:rFonts w:ascii="Cambria" w:hAnsi="Cambria" w:cs="Cambria"/>
          <w:lang w:val="en"/>
        </w:rPr>
        <w:t>(4,</w:t>
      </w:r>
      <w:r w:rsidR="006852AA">
        <w:rPr>
          <w:rFonts w:ascii="Cambria" w:hAnsi="Cambria" w:cs="Cambria"/>
          <w:lang w:val="en"/>
        </w:rPr>
        <w:t>137</w:t>
      </w:r>
      <w:r>
        <w:rPr>
          <w:rFonts w:ascii="Cambria" w:hAnsi="Cambria" w:cs="Cambria"/>
          <w:lang w:val="en"/>
        </w:rPr>
        <w:t>) = 5.</w:t>
      </w:r>
      <w:r w:rsidR="00646A22">
        <w:rPr>
          <w:rFonts w:ascii="Cambria" w:hAnsi="Cambria" w:cs="Cambria"/>
          <w:lang w:val="en"/>
        </w:rPr>
        <w:t>44</w:t>
      </w:r>
      <w:r>
        <w:rPr>
          <w:rFonts w:ascii="Cambria" w:hAnsi="Cambria" w:cs="Cambria"/>
          <w:lang w:val="en"/>
        </w:rPr>
        <w:t xml:space="preserve">, </w:t>
      </w:r>
      <w:r>
        <w:rPr>
          <w:rFonts w:ascii="Cambria" w:hAnsi="Cambria" w:cs="Cambria"/>
          <w:i/>
          <w:iCs/>
          <w:lang w:val="en"/>
        </w:rPr>
        <w:t>p</w:t>
      </w:r>
      <w:r>
        <w:rPr>
          <w:rFonts w:ascii="Cambria" w:hAnsi="Cambria" w:cs="Cambria"/>
          <w:lang w:val="en"/>
        </w:rPr>
        <w:t xml:space="preserve"> &lt; .001]. Within the negative behavior composite, there was a significant effect of group on the ‘takes and stores food’ [</w:t>
      </w:r>
      <w:r>
        <w:rPr>
          <w:rFonts w:ascii="Cambria" w:hAnsi="Cambria" w:cs="Cambria"/>
          <w:i/>
          <w:iCs/>
          <w:lang w:val="en"/>
        </w:rPr>
        <w:t>F</w:t>
      </w:r>
      <w:r>
        <w:rPr>
          <w:rFonts w:ascii="Cambria" w:hAnsi="Cambria" w:cs="Cambria"/>
          <w:lang w:val="en"/>
        </w:rPr>
        <w:t>(4, 14</w:t>
      </w:r>
      <w:r w:rsidR="006A66AE">
        <w:rPr>
          <w:rFonts w:ascii="Cambria" w:hAnsi="Cambria" w:cs="Cambria"/>
          <w:lang w:val="en"/>
        </w:rPr>
        <w:t>0</w:t>
      </w:r>
      <w:r>
        <w:rPr>
          <w:rFonts w:ascii="Cambria" w:hAnsi="Cambria" w:cs="Cambria"/>
          <w:lang w:val="en"/>
        </w:rPr>
        <w:t>)=</w:t>
      </w:r>
      <w:r w:rsidR="006A66AE">
        <w:rPr>
          <w:rFonts w:ascii="Cambria" w:hAnsi="Cambria" w:cs="Cambria"/>
          <w:lang w:val="en"/>
        </w:rPr>
        <w:t>8.68</w:t>
      </w:r>
      <w:r>
        <w:rPr>
          <w:rFonts w:ascii="Cambria" w:hAnsi="Cambria" w:cs="Cambria"/>
          <w:lang w:val="en"/>
        </w:rPr>
        <w:t xml:space="preserve">, </w:t>
      </w:r>
      <w:r>
        <w:rPr>
          <w:rFonts w:ascii="Cambria" w:hAnsi="Cambria" w:cs="Cambria"/>
          <w:i/>
          <w:iCs/>
          <w:lang w:val="en"/>
        </w:rPr>
        <w:t>p</w:t>
      </w:r>
      <w:r>
        <w:rPr>
          <w:rFonts w:ascii="Cambria" w:hAnsi="Cambria" w:cs="Cambria"/>
          <w:lang w:val="en"/>
        </w:rPr>
        <w:t xml:space="preserve"> &lt; .001] and ‘eats inedible items’ [</w:t>
      </w:r>
      <w:r>
        <w:rPr>
          <w:rFonts w:ascii="Cambria" w:hAnsi="Cambria" w:cs="Cambria"/>
          <w:i/>
          <w:iCs/>
          <w:lang w:val="en"/>
        </w:rPr>
        <w:t>F</w:t>
      </w:r>
      <w:r>
        <w:rPr>
          <w:rFonts w:ascii="Cambria" w:hAnsi="Cambria" w:cs="Cambria"/>
          <w:lang w:val="en"/>
        </w:rPr>
        <w:t>(4,1</w:t>
      </w:r>
      <w:r w:rsidR="001373C5">
        <w:rPr>
          <w:rFonts w:ascii="Cambria" w:hAnsi="Cambria" w:cs="Cambria"/>
          <w:lang w:val="en"/>
        </w:rPr>
        <w:t>38</w:t>
      </w:r>
      <w:r>
        <w:rPr>
          <w:rFonts w:ascii="Cambria" w:hAnsi="Cambria" w:cs="Cambria"/>
          <w:lang w:val="en"/>
        </w:rPr>
        <w:t>)=</w:t>
      </w:r>
      <w:r w:rsidR="001373C5">
        <w:rPr>
          <w:rFonts w:ascii="Cambria" w:hAnsi="Cambria" w:cs="Cambria"/>
          <w:lang w:val="en"/>
        </w:rPr>
        <w:t>3.11</w:t>
      </w:r>
      <w:r>
        <w:rPr>
          <w:rFonts w:ascii="Cambria" w:hAnsi="Cambria" w:cs="Cambria"/>
          <w:lang w:val="en"/>
        </w:rPr>
        <w:t xml:space="preserve">, </w:t>
      </w:r>
      <w:r>
        <w:rPr>
          <w:rFonts w:ascii="Cambria" w:hAnsi="Cambria" w:cs="Cambria"/>
          <w:i/>
          <w:iCs/>
          <w:lang w:val="en"/>
        </w:rPr>
        <w:t>p</w:t>
      </w:r>
      <w:r>
        <w:rPr>
          <w:rFonts w:ascii="Cambria" w:hAnsi="Cambria" w:cs="Cambria"/>
          <w:lang w:val="en"/>
        </w:rPr>
        <w:t xml:space="preserve"> &lt; .0</w:t>
      </w:r>
      <w:r w:rsidR="00C01336">
        <w:rPr>
          <w:rFonts w:ascii="Cambria" w:hAnsi="Cambria" w:cs="Cambria"/>
          <w:lang w:val="en"/>
        </w:rPr>
        <w:t>5</w:t>
      </w:r>
      <w:r>
        <w:rPr>
          <w:rFonts w:ascii="Cambria" w:hAnsi="Cambria" w:cs="Cambria"/>
          <w:lang w:val="en"/>
        </w:rPr>
        <w:t>] subscales within this measure. There was not a significant effect of group on the ‘inappropriate responses’ subscale</w:t>
      </w:r>
      <w:r w:rsidR="00DE4195">
        <w:rPr>
          <w:rFonts w:ascii="Cambria" w:hAnsi="Cambria" w:cs="Cambria"/>
          <w:lang w:val="en"/>
        </w:rPr>
        <w:t xml:space="preserve"> (F &lt; 1.5)</w:t>
      </w:r>
      <w:r>
        <w:rPr>
          <w:rFonts w:ascii="Cambria" w:hAnsi="Cambria" w:cs="Cambria"/>
          <w:lang w:val="en"/>
        </w:rPr>
        <w:t xml:space="preserve">. </w:t>
      </w:r>
    </w:p>
    <w:p w:rsidR="00234F4B" w:rsidRDefault="00234F4B"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There was a significant effect of age on the ‘eats inedible items’ subscale, [</w:t>
      </w:r>
      <w:r>
        <w:rPr>
          <w:rFonts w:ascii="Cambria" w:hAnsi="Cambria" w:cs="Cambria"/>
          <w:i/>
          <w:iCs/>
          <w:lang w:val="en"/>
        </w:rPr>
        <w:t>F</w:t>
      </w:r>
      <w:r w:rsidR="00D05F27">
        <w:rPr>
          <w:rFonts w:ascii="Cambria" w:hAnsi="Cambria" w:cs="Cambria"/>
          <w:lang w:val="en"/>
        </w:rPr>
        <w:t>(4,138)=6.85</w:t>
      </w:r>
      <w:r>
        <w:rPr>
          <w:rFonts w:ascii="Cambria" w:hAnsi="Cambria" w:cs="Cambria"/>
          <w:lang w:val="en"/>
        </w:rPr>
        <w:t xml:space="preserve">, </w:t>
      </w:r>
      <w:r>
        <w:rPr>
          <w:rFonts w:ascii="Cambria" w:hAnsi="Cambria" w:cs="Cambria"/>
          <w:i/>
          <w:iCs/>
          <w:lang w:val="en"/>
        </w:rPr>
        <w:t>p</w:t>
      </w:r>
      <w:r w:rsidR="00FB11A3">
        <w:rPr>
          <w:rFonts w:ascii="Cambria" w:hAnsi="Cambria" w:cs="Cambria"/>
          <w:lang w:val="en"/>
        </w:rPr>
        <w:t xml:space="preserve"> &lt; .05</w:t>
      </w:r>
      <w:r>
        <w:rPr>
          <w:rFonts w:ascii="Cambria" w:hAnsi="Cambria" w:cs="Cambria"/>
          <w:lang w:val="en"/>
        </w:rPr>
        <w:t>]. Apart from this, neither age nor gender had a significant effect on any of the FRPQ subscale</w:t>
      </w:r>
      <w:r w:rsidR="009D43AF">
        <w:rPr>
          <w:rFonts w:ascii="Cambria" w:hAnsi="Cambria" w:cs="Cambria"/>
          <w:lang w:val="en"/>
        </w:rPr>
        <w:t xml:space="preserve"> scores.</w:t>
      </w:r>
    </w:p>
    <w:p w:rsidR="00E233F2" w:rsidRDefault="00792EE0" w:rsidP="002A795B">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Table </w:t>
      </w:r>
      <w:r w:rsidR="00C06A02">
        <w:rPr>
          <w:rFonts w:ascii="Cambria" w:hAnsi="Cambria" w:cs="Cambria"/>
          <w:lang w:val="en"/>
        </w:rPr>
        <w:t>III</w:t>
      </w:r>
      <w:r w:rsidR="005B7BD1">
        <w:rPr>
          <w:rFonts w:ascii="Cambria" w:hAnsi="Cambria" w:cs="Cambria"/>
          <w:lang w:val="en"/>
        </w:rPr>
        <w:t xml:space="preserve"> shows results of planned contrasts for subscales in which there was a significant effect of group</w:t>
      </w:r>
      <w:r w:rsidR="00BD0108">
        <w:rPr>
          <w:rFonts w:ascii="Cambria" w:hAnsi="Cambria" w:cs="Cambria"/>
          <w:lang w:val="en"/>
        </w:rPr>
        <w:t>. On measures of impaired satiety</w:t>
      </w:r>
      <w:r w:rsidR="00FD0FE3">
        <w:rPr>
          <w:rFonts w:ascii="Cambria" w:hAnsi="Cambria" w:cs="Cambria"/>
          <w:lang w:val="en"/>
        </w:rPr>
        <w:t>,</w:t>
      </w:r>
      <w:r w:rsidR="00BD0108">
        <w:rPr>
          <w:rFonts w:ascii="Cambria" w:hAnsi="Cambria" w:cs="Cambria"/>
          <w:lang w:val="en"/>
        </w:rPr>
        <w:t xml:space="preserve"> preoccupation with food, </w:t>
      </w:r>
      <w:r w:rsidR="00FD0FE3">
        <w:rPr>
          <w:rFonts w:ascii="Cambria" w:hAnsi="Cambria" w:cs="Cambria"/>
          <w:lang w:val="en"/>
        </w:rPr>
        <w:t xml:space="preserve">taking and storing food and </w:t>
      </w:r>
      <w:r w:rsidR="00755EDF">
        <w:rPr>
          <w:rFonts w:ascii="Cambria" w:hAnsi="Cambria" w:cs="Cambria"/>
          <w:lang w:val="en"/>
        </w:rPr>
        <w:t xml:space="preserve">the </w:t>
      </w:r>
      <w:r w:rsidR="00FD0FE3">
        <w:rPr>
          <w:rFonts w:ascii="Cambria" w:hAnsi="Cambria" w:cs="Cambria"/>
          <w:lang w:val="en"/>
        </w:rPr>
        <w:t xml:space="preserve">negative behaviour composite, </w:t>
      </w:r>
      <w:r w:rsidR="00BD0108">
        <w:rPr>
          <w:rFonts w:ascii="Cambria" w:hAnsi="Cambria" w:cs="Cambria"/>
          <w:lang w:val="en"/>
        </w:rPr>
        <w:t xml:space="preserve">the PWS group scored significantly higher than </w:t>
      </w:r>
      <w:r w:rsidR="00FD0FE3">
        <w:rPr>
          <w:rFonts w:ascii="Cambria" w:hAnsi="Cambria" w:cs="Cambria"/>
          <w:lang w:val="en"/>
        </w:rPr>
        <w:t>one</w:t>
      </w:r>
      <w:r w:rsidR="00B40A08">
        <w:rPr>
          <w:rFonts w:ascii="Cambria" w:hAnsi="Cambria" w:cs="Cambria"/>
          <w:lang w:val="en"/>
        </w:rPr>
        <w:t xml:space="preserve"> or more </w:t>
      </w:r>
      <w:r w:rsidR="00BD0108">
        <w:rPr>
          <w:rFonts w:ascii="Cambria" w:hAnsi="Cambria" w:cs="Cambria"/>
          <w:lang w:val="en"/>
        </w:rPr>
        <w:t xml:space="preserve">other syndrome groups. </w:t>
      </w:r>
      <w:r w:rsidR="00FD0FE3">
        <w:rPr>
          <w:rFonts w:ascii="Cambria" w:hAnsi="Cambria" w:cs="Cambria"/>
          <w:lang w:val="en"/>
        </w:rPr>
        <w:t xml:space="preserve"> Interestingly, on all of these measures, the scores of the AS group also </w:t>
      </w:r>
      <w:r w:rsidR="00A47A07">
        <w:rPr>
          <w:rFonts w:ascii="Cambria" w:hAnsi="Cambria" w:cs="Cambria"/>
          <w:lang w:val="en"/>
        </w:rPr>
        <w:t xml:space="preserve">significantly exceeded those of at least one other group. </w:t>
      </w:r>
      <w:r w:rsidR="00CE54D7">
        <w:rPr>
          <w:rFonts w:ascii="Cambria" w:hAnsi="Cambria" w:cs="Cambria"/>
          <w:lang w:val="en"/>
        </w:rPr>
        <w:t>On the ‘negative behavior composite’, ‘eats inedible items’ and ‘inappropriate negative behavior’ subscales, there was a trend towards greater scores in the AS than the PWS group.</w:t>
      </w:r>
    </w:p>
    <w:p w:rsidR="00624578" w:rsidRPr="00D34BCC" w:rsidRDefault="0019117D" w:rsidP="002A795B">
      <w:pPr>
        <w:widowControl w:val="0"/>
        <w:autoSpaceDE w:val="0"/>
        <w:autoSpaceDN w:val="0"/>
        <w:adjustRightInd w:val="0"/>
        <w:spacing w:line="480" w:lineRule="auto"/>
        <w:ind w:firstLine="720"/>
        <w:rPr>
          <w:rFonts w:ascii="Cambria" w:hAnsi="Cambria" w:cs="Cambria"/>
          <w:i/>
          <w:u w:val="single"/>
          <w:lang w:val="en"/>
        </w:rPr>
      </w:pPr>
      <w:r>
        <w:rPr>
          <w:rFonts w:ascii="Cambria" w:hAnsi="Cambria" w:cs="Cambria"/>
          <w:i/>
          <w:u w:val="single"/>
          <w:lang w:val="en"/>
        </w:rPr>
        <w:t>G</w:t>
      </w:r>
      <w:r w:rsidR="00BE024B">
        <w:rPr>
          <w:rFonts w:ascii="Cambria" w:hAnsi="Cambria" w:cs="Cambria"/>
          <w:i/>
          <w:u w:val="single"/>
          <w:lang w:val="en"/>
        </w:rPr>
        <w:t>roup differences with</w:t>
      </w:r>
      <w:r w:rsidR="0050213B">
        <w:rPr>
          <w:rFonts w:ascii="Cambria" w:hAnsi="Cambria" w:cs="Cambria"/>
          <w:i/>
          <w:u w:val="single"/>
          <w:lang w:val="en"/>
        </w:rPr>
        <w:t xml:space="preserve"> self-help ability scores</w:t>
      </w:r>
      <w:r w:rsidR="00BE024B">
        <w:rPr>
          <w:rFonts w:ascii="Cambria" w:hAnsi="Cambria" w:cs="Cambria"/>
          <w:i/>
          <w:u w:val="single"/>
          <w:lang w:val="en"/>
        </w:rPr>
        <w:t xml:space="preserve"> as covariate</w:t>
      </w:r>
    </w:p>
    <w:p w:rsidR="00FF01F3"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All significant main effects of syndrome group within the AN</w:t>
      </w:r>
      <w:r w:rsidR="00D5151A">
        <w:rPr>
          <w:rFonts w:ascii="Cambria" w:hAnsi="Cambria" w:cs="Cambria"/>
          <w:lang w:val="en"/>
        </w:rPr>
        <w:t>C</w:t>
      </w:r>
      <w:r>
        <w:rPr>
          <w:rFonts w:ascii="Cambria" w:hAnsi="Cambria" w:cs="Cambria"/>
          <w:lang w:val="en"/>
        </w:rPr>
        <w:t xml:space="preserve">OVAs </w:t>
      </w:r>
      <w:r w:rsidR="00064F23">
        <w:rPr>
          <w:rFonts w:ascii="Cambria" w:hAnsi="Cambria" w:cs="Cambria"/>
          <w:lang w:val="en"/>
        </w:rPr>
        <w:t xml:space="preserve">(see above) </w:t>
      </w:r>
      <w:r>
        <w:rPr>
          <w:rFonts w:ascii="Cambria" w:hAnsi="Cambria" w:cs="Cambria"/>
          <w:lang w:val="en"/>
        </w:rPr>
        <w:t xml:space="preserve">remained significant after inclusion of the Wessex self-help score as a covariate to </w:t>
      </w:r>
      <w:r w:rsidR="00407041">
        <w:rPr>
          <w:rFonts w:ascii="Cambria" w:hAnsi="Cambria" w:cs="Cambria"/>
          <w:lang w:val="en"/>
        </w:rPr>
        <w:t xml:space="preserve"> explore the </w:t>
      </w:r>
      <w:r w:rsidR="002F3184">
        <w:rPr>
          <w:rFonts w:ascii="Cambria" w:hAnsi="Cambria" w:cs="Cambria"/>
          <w:lang w:val="en"/>
        </w:rPr>
        <w:t xml:space="preserve">potential </w:t>
      </w:r>
      <w:r w:rsidR="00407041">
        <w:rPr>
          <w:rFonts w:ascii="Cambria" w:hAnsi="Cambria" w:cs="Cambria"/>
          <w:lang w:val="en"/>
        </w:rPr>
        <w:t>role of</w:t>
      </w:r>
      <w:r>
        <w:rPr>
          <w:rFonts w:ascii="Cambria" w:hAnsi="Cambria" w:cs="Cambria"/>
          <w:lang w:val="en"/>
        </w:rPr>
        <w:t xml:space="preserve"> level of intellectual disability (min. F = 3.</w:t>
      </w:r>
      <w:r w:rsidR="004B5939">
        <w:rPr>
          <w:rFonts w:ascii="Cambria" w:hAnsi="Cambria" w:cs="Cambria"/>
          <w:lang w:val="en"/>
        </w:rPr>
        <w:t>24</w:t>
      </w:r>
      <w:r>
        <w:rPr>
          <w:rFonts w:ascii="Cambria" w:hAnsi="Cambria" w:cs="Cambria"/>
          <w:lang w:val="en"/>
        </w:rPr>
        <w:t xml:space="preserve">). There </w:t>
      </w:r>
      <w:r w:rsidR="003755AD">
        <w:rPr>
          <w:rFonts w:ascii="Cambria" w:hAnsi="Cambria" w:cs="Cambria"/>
          <w:lang w:val="en"/>
        </w:rPr>
        <w:t xml:space="preserve">also </w:t>
      </w:r>
      <w:r>
        <w:rPr>
          <w:rFonts w:ascii="Cambria" w:hAnsi="Cambria" w:cs="Cambria"/>
          <w:lang w:val="en"/>
        </w:rPr>
        <w:t xml:space="preserve">remained the same pattern of significant differences between specific groups for the </w:t>
      </w:r>
      <w:r>
        <w:rPr>
          <w:rFonts w:ascii="Cambria" w:hAnsi="Cambria" w:cs="Cambria"/>
          <w:lang w:val="en"/>
        </w:rPr>
        <w:lastRenderedPageBreak/>
        <w:t>‘takes and stores food’</w:t>
      </w:r>
      <w:r w:rsidR="00761E84">
        <w:rPr>
          <w:rFonts w:ascii="Cambria" w:hAnsi="Cambria" w:cs="Cambria"/>
          <w:lang w:val="en"/>
        </w:rPr>
        <w:t xml:space="preserve"> and</w:t>
      </w:r>
      <w:r>
        <w:rPr>
          <w:rFonts w:ascii="Cambria" w:hAnsi="Cambria" w:cs="Cambria"/>
          <w:lang w:val="en"/>
        </w:rPr>
        <w:t xml:space="preserve"> ‘preoccupation with food’ and subscales</w:t>
      </w:r>
      <w:r w:rsidR="00792EE0">
        <w:rPr>
          <w:rFonts w:ascii="Cambria" w:hAnsi="Cambria" w:cs="Cambria"/>
          <w:lang w:val="en"/>
        </w:rPr>
        <w:t xml:space="preserve"> </w:t>
      </w:r>
      <w:r w:rsidR="00FF01F3">
        <w:rPr>
          <w:rFonts w:ascii="Cambria" w:hAnsi="Cambria" w:cs="Cambria"/>
          <w:lang w:val="en"/>
        </w:rPr>
        <w:t>For ‘composite negative behaviour’</w:t>
      </w:r>
      <w:r w:rsidR="00D25E8E">
        <w:rPr>
          <w:rFonts w:ascii="Cambria" w:hAnsi="Cambria" w:cs="Cambria"/>
          <w:lang w:val="en"/>
        </w:rPr>
        <w:t xml:space="preserve"> and </w:t>
      </w:r>
      <w:r w:rsidR="003755AD">
        <w:rPr>
          <w:rFonts w:ascii="Cambria" w:hAnsi="Cambria" w:cs="Cambria"/>
          <w:lang w:val="en"/>
        </w:rPr>
        <w:t xml:space="preserve">‘impaired satiety’, there were </w:t>
      </w:r>
      <w:r w:rsidR="00D3336C">
        <w:rPr>
          <w:rFonts w:ascii="Cambria" w:hAnsi="Cambria" w:cs="Cambria"/>
          <w:lang w:val="en"/>
        </w:rPr>
        <w:t>differences in the patterns of significant differences between groups</w:t>
      </w:r>
      <w:r w:rsidR="006B70BC">
        <w:rPr>
          <w:rFonts w:ascii="Cambria" w:hAnsi="Cambria" w:cs="Cambria"/>
          <w:lang w:val="en"/>
        </w:rPr>
        <w:t xml:space="preserve"> after addition of self-help scores</w:t>
      </w:r>
      <w:r w:rsidR="003755AD">
        <w:rPr>
          <w:rFonts w:ascii="Cambria" w:hAnsi="Cambria" w:cs="Cambria"/>
          <w:lang w:val="en"/>
        </w:rPr>
        <w:t xml:space="preserve"> (see Table III).</w:t>
      </w:r>
    </w:p>
    <w:p w:rsidR="00523515" w:rsidRDefault="00523515"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There was a significant effect of Wessex self-help score on the ‘eating inedible items’</w:t>
      </w:r>
      <w:r w:rsidR="00C81F65">
        <w:rPr>
          <w:rFonts w:ascii="Cambria" w:hAnsi="Cambria" w:cs="Cambria"/>
          <w:lang w:val="en"/>
        </w:rPr>
        <w:t>, ‘inappropriate negative responses’ and ‘composite negative behavior’ subscales.</w:t>
      </w:r>
    </w:p>
    <w:p w:rsidR="00BD0108" w:rsidRDefault="00BD0108" w:rsidP="00BD0108">
      <w:pPr>
        <w:widowControl w:val="0"/>
        <w:autoSpaceDE w:val="0"/>
        <w:autoSpaceDN w:val="0"/>
        <w:adjustRightInd w:val="0"/>
        <w:spacing w:line="480" w:lineRule="auto"/>
        <w:rPr>
          <w:rFonts w:ascii="Cambria" w:hAnsi="Cambria" w:cs="Cambria"/>
          <w:b/>
          <w:bCs/>
          <w:lang w:val="en"/>
        </w:rPr>
      </w:pPr>
      <w:r>
        <w:rPr>
          <w:rFonts w:ascii="Cambria" w:hAnsi="Cambria" w:cs="Cambria"/>
          <w:b/>
          <w:bCs/>
          <w:lang w:val="en"/>
        </w:rPr>
        <w:t>50</w:t>
      </w:r>
      <w:r>
        <w:rPr>
          <w:rFonts w:ascii="Cambria" w:hAnsi="Cambria" w:cs="Cambria"/>
          <w:b/>
          <w:bCs/>
          <w:vertAlign w:val="superscript"/>
          <w:lang w:val="en"/>
        </w:rPr>
        <w:t>th</w:t>
      </w:r>
      <w:r>
        <w:rPr>
          <w:rFonts w:ascii="Cambria" w:hAnsi="Cambria" w:cs="Cambria"/>
          <w:b/>
          <w:bCs/>
          <w:lang w:val="en"/>
        </w:rPr>
        <w:t xml:space="preserve"> percentile cut-off</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Fiftieth percentile</w:t>
      </w:r>
      <w:r w:rsidR="00061154">
        <w:rPr>
          <w:rFonts w:ascii="Cambria" w:hAnsi="Cambria" w:cs="Cambria"/>
          <w:lang w:val="en"/>
        </w:rPr>
        <w:t xml:space="preserve"> (median)</w:t>
      </w:r>
      <w:r>
        <w:rPr>
          <w:rFonts w:ascii="Cambria" w:hAnsi="Cambria" w:cs="Cambria"/>
          <w:lang w:val="en"/>
        </w:rPr>
        <w:t xml:space="preserve"> cut-off scores for the PWS group on subscales of the FRPQ </w:t>
      </w:r>
      <w:r w:rsidR="00F708BD">
        <w:rPr>
          <w:rFonts w:ascii="Cambria" w:hAnsi="Cambria" w:cs="Cambria"/>
          <w:lang w:val="en"/>
        </w:rPr>
        <w:t>were calculated</w:t>
      </w:r>
      <w:r>
        <w:rPr>
          <w:rFonts w:ascii="Cambria" w:hAnsi="Cambria" w:cs="Cambria"/>
          <w:lang w:val="en"/>
        </w:rPr>
        <w:t xml:space="preserve">. Figure 2 shows the percentage of participants in each of </w:t>
      </w:r>
      <w:r w:rsidR="00B132E4">
        <w:rPr>
          <w:rFonts w:ascii="Cambria" w:hAnsi="Cambria" w:cs="Cambria"/>
          <w:lang w:val="en"/>
        </w:rPr>
        <w:t>the other four groups who</w:t>
      </w:r>
      <w:r>
        <w:rPr>
          <w:rFonts w:ascii="Cambria" w:hAnsi="Cambria" w:cs="Cambria"/>
          <w:lang w:val="en"/>
        </w:rPr>
        <w:t xml:space="preserve"> </w:t>
      </w:r>
      <w:r w:rsidR="0089081C">
        <w:rPr>
          <w:rFonts w:ascii="Cambria" w:hAnsi="Cambria" w:cs="Cambria"/>
          <w:lang w:val="en"/>
        </w:rPr>
        <w:t xml:space="preserve">met or </w:t>
      </w:r>
      <w:r>
        <w:rPr>
          <w:rFonts w:ascii="Cambria" w:hAnsi="Cambria" w:cs="Cambria"/>
          <w:lang w:val="en"/>
        </w:rPr>
        <w:t>exceeded these cut-off scores.</w:t>
      </w:r>
    </w:p>
    <w:p w:rsidR="00BD0108" w:rsidRDefault="00BD0108" w:rsidP="00974F75">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Scoring within the upper 50% of PWS scores on measures of impaired satiety, preoccupation with food or inappropriate behavior was not significantly associated with syndrome group. However, the frequency with which a score</w:t>
      </w:r>
      <w:r w:rsidR="006919EA">
        <w:rPr>
          <w:rFonts w:ascii="Cambria" w:hAnsi="Cambria" w:cs="Cambria"/>
          <w:lang w:val="en"/>
        </w:rPr>
        <w:t xml:space="preserve"> </w:t>
      </w:r>
      <w:r w:rsidR="00362735">
        <w:rPr>
          <w:rFonts w:ascii="Cambria" w:hAnsi="Cambria" w:cs="Cambria"/>
          <w:lang w:val="en"/>
        </w:rPr>
        <w:t xml:space="preserve">met or </w:t>
      </w:r>
      <w:r w:rsidR="00D25149">
        <w:rPr>
          <w:rFonts w:ascii="Cambria" w:hAnsi="Cambria" w:cs="Cambria"/>
          <w:lang w:val="en"/>
        </w:rPr>
        <w:t>exceeded the PWS median</w:t>
      </w:r>
      <w:r>
        <w:rPr>
          <w:rFonts w:ascii="Cambria" w:hAnsi="Cambria" w:cs="Cambria"/>
          <w:lang w:val="en"/>
        </w:rPr>
        <w:t xml:space="preserve"> for negative composite behaviors, taking/storing food and eating inedible items was significantly associated with syndrome group ([χ</w:t>
      </w:r>
      <w:r>
        <w:rPr>
          <w:rFonts w:ascii="Cambria" w:hAnsi="Cambria" w:cs="Cambria"/>
          <w:vertAlign w:val="superscript"/>
          <w:lang w:val="en"/>
        </w:rPr>
        <w:t>2</w:t>
      </w:r>
      <w:r>
        <w:rPr>
          <w:rFonts w:ascii="Cambria" w:hAnsi="Cambria" w:cs="Cambria"/>
          <w:lang w:val="en"/>
        </w:rPr>
        <w:t>(3) =</w:t>
      </w:r>
      <w:r w:rsidR="00934DB5">
        <w:rPr>
          <w:rFonts w:ascii="Cambria" w:hAnsi="Cambria" w:cs="Cambria"/>
          <w:lang w:val="en"/>
        </w:rPr>
        <w:t>15.70</w:t>
      </w:r>
      <w:r>
        <w:rPr>
          <w:rFonts w:ascii="Cambria" w:hAnsi="Cambria" w:cs="Cambria"/>
          <w:lang w:val="en"/>
        </w:rPr>
        <w:t xml:space="preserve">, </w:t>
      </w:r>
      <w:r>
        <w:rPr>
          <w:rFonts w:ascii="Cambria" w:hAnsi="Cambria" w:cs="Cambria"/>
          <w:i/>
          <w:iCs/>
          <w:lang w:val="en"/>
        </w:rPr>
        <w:t>p</w:t>
      </w:r>
      <w:r>
        <w:rPr>
          <w:rFonts w:ascii="Cambria" w:hAnsi="Cambria" w:cs="Cambria"/>
          <w:lang w:val="en"/>
        </w:rPr>
        <w:t xml:space="preserve"> = .001]; [χ</w:t>
      </w:r>
      <w:r>
        <w:rPr>
          <w:rFonts w:ascii="Cambria" w:hAnsi="Cambria" w:cs="Cambria"/>
          <w:vertAlign w:val="superscript"/>
          <w:lang w:val="en"/>
        </w:rPr>
        <w:t>2</w:t>
      </w:r>
      <w:r>
        <w:rPr>
          <w:rFonts w:ascii="Cambria" w:hAnsi="Cambria" w:cs="Cambria"/>
          <w:lang w:val="en"/>
        </w:rPr>
        <w:t xml:space="preserve">(3) = </w:t>
      </w:r>
      <w:r w:rsidR="00D0779B">
        <w:rPr>
          <w:rFonts w:ascii="Cambria" w:hAnsi="Cambria" w:cs="Cambria"/>
          <w:lang w:val="en"/>
        </w:rPr>
        <w:t>14.27</w:t>
      </w:r>
      <w:r>
        <w:rPr>
          <w:rFonts w:ascii="Cambria" w:hAnsi="Cambria" w:cs="Cambria"/>
          <w:lang w:val="en"/>
        </w:rPr>
        <w:t xml:space="preserve">, </w:t>
      </w:r>
      <w:r>
        <w:rPr>
          <w:rFonts w:ascii="Cambria" w:hAnsi="Cambria" w:cs="Cambria"/>
          <w:i/>
          <w:iCs/>
          <w:lang w:val="en"/>
        </w:rPr>
        <w:t>p</w:t>
      </w:r>
      <w:r>
        <w:rPr>
          <w:rFonts w:ascii="Cambria" w:hAnsi="Cambria" w:cs="Cambria"/>
          <w:lang w:val="en"/>
        </w:rPr>
        <w:t xml:space="preserve"> = .002]; [χ</w:t>
      </w:r>
      <w:r>
        <w:rPr>
          <w:rFonts w:ascii="Cambria" w:hAnsi="Cambria" w:cs="Cambria"/>
          <w:vertAlign w:val="superscript"/>
          <w:lang w:val="en"/>
        </w:rPr>
        <w:t>2</w:t>
      </w:r>
      <w:r>
        <w:rPr>
          <w:rFonts w:ascii="Cambria" w:hAnsi="Cambria" w:cs="Cambria"/>
          <w:lang w:val="en"/>
        </w:rPr>
        <w:t xml:space="preserve">(3) = </w:t>
      </w:r>
      <w:r w:rsidR="00300306">
        <w:rPr>
          <w:rFonts w:ascii="Cambria" w:hAnsi="Cambria" w:cs="Cambria"/>
          <w:lang w:val="en"/>
        </w:rPr>
        <w:t>17.62</w:t>
      </w:r>
      <w:r>
        <w:rPr>
          <w:rFonts w:ascii="Cambria" w:hAnsi="Cambria" w:cs="Cambria"/>
          <w:lang w:val="en"/>
        </w:rPr>
        <w:t xml:space="preserve">, </w:t>
      </w:r>
      <w:r>
        <w:rPr>
          <w:rFonts w:ascii="Cambria" w:hAnsi="Cambria" w:cs="Cambria"/>
          <w:i/>
          <w:iCs/>
          <w:lang w:val="en"/>
        </w:rPr>
        <w:t>p</w:t>
      </w:r>
      <w:r>
        <w:rPr>
          <w:rFonts w:ascii="Cambria" w:hAnsi="Cambria" w:cs="Cambria"/>
          <w:lang w:val="en"/>
        </w:rPr>
        <w:t xml:space="preserve"> = .001] respectively). Scores</w:t>
      </w:r>
      <w:r w:rsidR="009D63BC">
        <w:rPr>
          <w:rFonts w:ascii="Cambria" w:hAnsi="Cambria" w:cs="Cambria"/>
          <w:lang w:val="en"/>
        </w:rPr>
        <w:t xml:space="preserve"> at or</w:t>
      </w:r>
      <w:r>
        <w:rPr>
          <w:rFonts w:ascii="Cambria" w:hAnsi="Cambria" w:cs="Cambria"/>
          <w:lang w:val="en"/>
        </w:rPr>
        <w:t xml:space="preserve"> above the 50</w:t>
      </w:r>
      <w:r w:rsidRPr="0006645B">
        <w:rPr>
          <w:rFonts w:ascii="Cambria" w:hAnsi="Cambria" w:cs="Cambria"/>
          <w:vertAlign w:val="superscript"/>
          <w:lang w:val="en"/>
        </w:rPr>
        <w:t>th</w:t>
      </w:r>
      <w:r>
        <w:rPr>
          <w:rFonts w:ascii="Cambria" w:hAnsi="Cambria" w:cs="Cambria"/>
          <w:lang w:val="en"/>
        </w:rPr>
        <w:t xml:space="preserve"> percentile of the PWS score distribution were most likely if the participant was in the AS cohort for all of these subscales.</w:t>
      </w:r>
      <w:r w:rsidR="00974F75">
        <w:rPr>
          <w:rFonts w:ascii="Cambria" w:hAnsi="Cambria" w:cs="Cambria"/>
          <w:lang w:val="en"/>
        </w:rPr>
        <w:t xml:space="preserve"> </w:t>
      </w:r>
      <w:r>
        <w:rPr>
          <w:rFonts w:ascii="Cambria" w:hAnsi="Cambria" w:cs="Cambria"/>
          <w:lang w:val="en"/>
        </w:rPr>
        <w:t xml:space="preserve">Post hoc analyses </w:t>
      </w:r>
      <w:r w:rsidR="00313B0B">
        <w:rPr>
          <w:rFonts w:ascii="Cambria" w:hAnsi="Cambria" w:cs="Cambria"/>
          <w:lang w:val="en"/>
        </w:rPr>
        <w:t>indicated that</w:t>
      </w:r>
      <w:r>
        <w:rPr>
          <w:rFonts w:ascii="Cambria" w:hAnsi="Cambria" w:cs="Cambria"/>
          <w:lang w:val="en"/>
        </w:rPr>
        <w:t xml:space="preserve"> </w:t>
      </w:r>
      <w:r w:rsidR="00313B0B">
        <w:rPr>
          <w:rFonts w:ascii="Cambria" w:hAnsi="Cambria" w:cs="Cambria"/>
          <w:lang w:val="en"/>
        </w:rPr>
        <w:t xml:space="preserve">for </w:t>
      </w:r>
      <w:r>
        <w:rPr>
          <w:rFonts w:ascii="Cambria" w:hAnsi="Cambria" w:cs="Cambria"/>
          <w:lang w:val="en"/>
        </w:rPr>
        <w:t xml:space="preserve">the ‘takes and stores food’ subscale, the proportion of the AS group </w:t>
      </w:r>
      <w:r w:rsidR="009968E7">
        <w:rPr>
          <w:rFonts w:ascii="Cambria" w:hAnsi="Cambria" w:cs="Cambria"/>
          <w:lang w:val="en"/>
        </w:rPr>
        <w:t xml:space="preserve">meeting or </w:t>
      </w:r>
      <w:r>
        <w:rPr>
          <w:rFonts w:ascii="Cambria" w:hAnsi="Cambria" w:cs="Cambria"/>
          <w:lang w:val="en"/>
        </w:rPr>
        <w:t>exceeding the 50</w:t>
      </w:r>
      <w:r w:rsidRPr="00893650">
        <w:rPr>
          <w:rFonts w:ascii="Cambria" w:hAnsi="Cambria" w:cs="Cambria"/>
          <w:vertAlign w:val="superscript"/>
          <w:lang w:val="en"/>
        </w:rPr>
        <w:t>th</w:t>
      </w:r>
      <w:r>
        <w:rPr>
          <w:rFonts w:ascii="Cambria" w:hAnsi="Cambria" w:cs="Cambria"/>
          <w:lang w:val="en"/>
        </w:rPr>
        <w:t xml:space="preserve"> percentile of PWS scores was significantly greater than that in </w:t>
      </w:r>
      <w:r w:rsidR="00313B0B">
        <w:rPr>
          <w:rFonts w:ascii="Cambria" w:hAnsi="Cambria" w:cs="Cambria"/>
          <w:lang w:val="en"/>
        </w:rPr>
        <w:t>the CdLS,</w:t>
      </w:r>
      <w:r w:rsidR="004843EF">
        <w:rPr>
          <w:rFonts w:ascii="Cambria" w:hAnsi="Cambria" w:cs="Cambria"/>
          <w:lang w:val="en"/>
        </w:rPr>
        <w:t xml:space="preserve"> FXS and 1p36 groups. On the</w:t>
      </w:r>
      <w:r w:rsidR="00313B0B">
        <w:rPr>
          <w:rFonts w:ascii="Cambria" w:hAnsi="Cambria" w:cs="Cambria"/>
          <w:lang w:val="en"/>
        </w:rPr>
        <w:t xml:space="preserve"> ‘composi</w:t>
      </w:r>
      <w:r w:rsidR="004843EF">
        <w:rPr>
          <w:rFonts w:ascii="Cambria" w:hAnsi="Cambria" w:cs="Cambria"/>
          <w:lang w:val="en"/>
        </w:rPr>
        <w:t>te negative behavior’ subscale,</w:t>
      </w:r>
      <w:r w:rsidR="00313B0B">
        <w:rPr>
          <w:rFonts w:ascii="Cambria" w:hAnsi="Cambria" w:cs="Cambria"/>
          <w:lang w:val="en"/>
        </w:rPr>
        <w:t xml:space="preserve"> a significantly greater proportion of the </w:t>
      </w:r>
      <w:r w:rsidR="00C77259">
        <w:rPr>
          <w:rFonts w:ascii="Cambria" w:hAnsi="Cambria" w:cs="Cambria"/>
          <w:lang w:val="en"/>
        </w:rPr>
        <w:t xml:space="preserve">AS group </w:t>
      </w:r>
      <w:r w:rsidR="00F27160">
        <w:rPr>
          <w:rFonts w:ascii="Cambria" w:hAnsi="Cambria" w:cs="Cambria"/>
          <w:lang w:val="en"/>
        </w:rPr>
        <w:t xml:space="preserve">met or </w:t>
      </w:r>
      <w:r w:rsidR="00C77259">
        <w:rPr>
          <w:rFonts w:ascii="Cambria" w:hAnsi="Cambria" w:cs="Cambria"/>
          <w:lang w:val="en"/>
        </w:rPr>
        <w:t xml:space="preserve">exceeded the median score for PWS than in the </w:t>
      </w:r>
      <w:r w:rsidR="00A3307D">
        <w:rPr>
          <w:rFonts w:ascii="Cambria" w:hAnsi="Cambria" w:cs="Cambria"/>
          <w:lang w:val="en"/>
        </w:rPr>
        <w:t>CdLS and FXS groups</w:t>
      </w:r>
      <w:r>
        <w:rPr>
          <w:rFonts w:ascii="Cambria" w:hAnsi="Cambria" w:cs="Cambria"/>
          <w:lang w:val="en"/>
        </w:rPr>
        <w:t xml:space="preserve">.  On the ‘eats inedible items’ subscale, a greater proportion of the scores of people with AS and 1p36 deletion syndrome </w:t>
      </w:r>
      <w:r w:rsidR="009968E7">
        <w:rPr>
          <w:rFonts w:ascii="Cambria" w:hAnsi="Cambria" w:cs="Cambria"/>
          <w:lang w:val="en"/>
        </w:rPr>
        <w:t xml:space="preserve">met or </w:t>
      </w:r>
      <w:r>
        <w:rPr>
          <w:rFonts w:ascii="Cambria" w:hAnsi="Cambria" w:cs="Cambria"/>
          <w:lang w:val="en"/>
        </w:rPr>
        <w:t>exceeded the 50</w:t>
      </w:r>
      <w:r w:rsidRPr="00314A34">
        <w:rPr>
          <w:rFonts w:ascii="Cambria" w:hAnsi="Cambria" w:cs="Cambria"/>
          <w:vertAlign w:val="superscript"/>
          <w:lang w:val="en"/>
        </w:rPr>
        <w:t>th</w:t>
      </w:r>
      <w:r>
        <w:rPr>
          <w:rFonts w:ascii="Cambria" w:hAnsi="Cambria" w:cs="Cambria"/>
          <w:lang w:val="en"/>
        </w:rPr>
        <w:t xml:space="preserve"> percentile than did those of participants with FXS.</w:t>
      </w:r>
    </w:p>
    <w:p w:rsidR="00BD0108" w:rsidRDefault="00AA20B1" w:rsidP="00BD0108">
      <w:pPr>
        <w:widowControl w:val="0"/>
        <w:autoSpaceDE w:val="0"/>
        <w:autoSpaceDN w:val="0"/>
        <w:adjustRightInd w:val="0"/>
        <w:spacing w:line="480" w:lineRule="auto"/>
        <w:ind w:firstLine="720"/>
        <w:jc w:val="center"/>
        <w:rPr>
          <w:rFonts w:ascii="Cambria" w:hAnsi="Cambria" w:cs="Cambria"/>
          <w:b/>
          <w:bCs/>
          <w:lang w:val="en"/>
        </w:rPr>
      </w:pPr>
      <w:r>
        <w:rPr>
          <w:rFonts w:ascii="Cambria" w:hAnsi="Cambria" w:cs="Cambria"/>
          <w:b/>
          <w:bCs/>
          <w:lang w:val="en"/>
        </w:rPr>
        <w:t>DISCUSSION</w:t>
      </w:r>
    </w:p>
    <w:p w:rsidR="00BD0108" w:rsidRDefault="00BD0108" w:rsidP="00BD0108">
      <w:pPr>
        <w:widowControl w:val="0"/>
        <w:autoSpaceDE w:val="0"/>
        <w:autoSpaceDN w:val="0"/>
        <w:adjustRightInd w:val="0"/>
        <w:spacing w:line="480" w:lineRule="auto"/>
        <w:rPr>
          <w:rFonts w:ascii="Cambria" w:hAnsi="Cambria" w:cs="Cambria"/>
          <w:lang w:val="en"/>
        </w:rPr>
      </w:pPr>
      <w:r>
        <w:rPr>
          <w:rFonts w:ascii="Cambria" w:hAnsi="Cambria" w:cs="Cambria"/>
          <w:lang w:val="en"/>
        </w:rPr>
        <w:lastRenderedPageBreak/>
        <w:tab/>
      </w:r>
      <w:r w:rsidR="003E5C6E">
        <w:rPr>
          <w:rFonts w:ascii="Cambria" w:hAnsi="Cambria" w:cs="Cambria"/>
          <w:lang w:val="en"/>
        </w:rPr>
        <w:t xml:space="preserve">As might be expected, </w:t>
      </w:r>
      <w:r w:rsidR="00D727C5">
        <w:rPr>
          <w:rFonts w:ascii="Cambria" w:hAnsi="Cambria" w:cs="Cambria"/>
          <w:lang w:val="en"/>
        </w:rPr>
        <w:t xml:space="preserve">food-related behavior problems reported for </w:t>
      </w:r>
      <w:r w:rsidR="003E5C6E">
        <w:rPr>
          <w:rFonts w:ascii="Cambria" w:hAnsi="Cambria" w:cs="Cambria"/>
          <w:lang w:val="en"/>
        </w:rPr>
        <w:t xml:space="preserve">participants with PWS </w:t>
      </w:r>
      <w:r w:rsidR="00D727C5">
        <w:rPr>
          <w:rFonts w:ascii="Cambria" w:hAnsi="Cambria" w:cs="Cambria"/>
          <w:lang w:val="en"/>
        </w:rPr>
        <w:t>exceeded those shown in other groups in m</w:t>
      </w:r>
      <w:r w:rsidR="008F3C15">
        <w:rPr>
          <w:rFonts w:ascii="Cambria" w:hAnsi="Cambria" w:cs="Cambria"/>
          <w:lang w:val="en"/>
        </w:rPr>
        <w:t>any</w:t>
      </w:r>
      <w:r w:rsidR="00D727C5">
        <w:rPr>
          <w:rFonts w:ascii="Cambria" w:hAnsi="Cambria" w:cs="Cambria"/>
          <w:lang w:val="en"/>
        </w:rPr>
        <w:t xml:space="preserve"> areas</w:t>
      </w:r>
      <w:r w:rsidR="001D3456">
        <w:rPr>
          <w:rFonts w:ascii="Cambria" w:hAnsi="Cambria" w:cs="Cambria"/>
          <w:lang w:val="en"/>
        </w:rPr>
        <w:t xml:space="preserve">: </w:t>
      </w:r>
      <w:r>
        <w:rPr>
          <w:rFonts w:ascii="Cambria" w:hAnsi="Cambria" w:cs="Cambria"/>
          <w:lang w:val="en"/>
        </w:rPr>
        <w:t>reported preoccupation with food was significantly greater in participants with PWS than in any other group, the PWS group had the highest mean score on impaired satiety (</w:t>
      </w:r>
      <w:r w:rsidR="00C65140">
        <w:rPr>
          <w:rFonts w:ascii="Cambria" w:hAnsi="Cambria" w:cs="Cambria"/>
          <w:lang w:val="en"/>
        </w:rPr>
        <w:t>significantly greater than the CdLS group and also, after addition of self-help skills as a covariate, the 1p36 and AS groups</w:t>
      </w:r>
      <w:r>
        <w:rPr>
          <w:rFonts w:ascii="Cambria" w:hAnsi="Cambria" w:cs="Cambria"/>
          <w:lang w:val="en"/>
        </w:rPr>
        <w:t>)</w:t>
      </w:r>
      <w:r w:rsidR="00421A2C">
        <w:rPr>
          <w:rFonts w:ascii="Cambria" w:hAnsi="Cambria" w:cs="Cambria"/>
          <w:lang w:val="en"/>
        </w:rPr>
        <w:t>;</w:t>
      </w:r>
      <w:r w:rsidR="00677975">
        <w:rPr>
          <w:rFonts w:ascii="Cambria" w:hAnsi="Cambria" w:cs="Cambria"/>
          <w:lang w:val="en"/>
        </w:rPr>
        <w:t xml:space="preserve"> scores on measures of taking and storing food and</w:t>
      </w:r>
      <w:r w:rsidR="00F468B7">
        <w:rPr>
          <w:rFonts w:ascii="Cambria" w:hAnsi="Cambria" w:cs="Cambria"/>
          <w:lang w:val="en"/>
        </w:rPr>
        <w:t xml:space="preserve"> on a measure of</w:t>
      </w:r>
      <w:r w:rsidR="00677975">
        <w:rPr>
          <w:rFonts w:ascii="Cambria" w:hAnsi="Cambria" w:cs="Cambria"/>
          <w:lang w:val="en"/>
        </w:rPr>
        <w:t xml:space="preserve"> composite negative behavior</w:t>
      </w:r>
      <w:r w:rsidR="00F468B7">
        <w:rPr>
          <w:rFonts w:ascii="Cambria" w:hAnsi="Cambria" w:cs="Cambria"/>
          <w:lang w:val="en"/>
        </w:rPr>
        <w:t xml:space="preserve"> each exceeded those in at least one other group</w:t>
      </w:r>
      <w:r>
        <w:rPr>
          <w:rFonts w:ascii="Cambria" w:hAnsi="Cambria" w:cs="Cambria"/>
          <w:lang w:val="en"/>
        </w:rPr>
        <w:t>. These results are broadly commensurate with current understanding of the behavioral phenotype of PWS [e.g., Whittington &amp; Holland, 2010].</w:t>
      </w:r>
    </w:p>
    <w:p w:rsidR="008226E7" w:rsidRDefault="00BD0108" w:rsidP="00BD0108">
      <w:pPr>
        <w:widowControl w:val="0"/>
        <w:autoSpaceDE w:val="0"/>
        <w:autoSpaceDN w:val="0"/>
        <w:adjustRightInd w:val="0"/>
        <w:spacing w:line="480" w:lineRule="auto"/>
        <w:rPr>
          <w:rFonts w:ascii="Cambria" w:hAnsi="Cambria" w:cs="Cambria"/>
          <w:lang w:val="en"/>
        </w:rPr>
      </w:pPr>
      <w:r>
        <w:rPr>
          <w:rFonts w:ascii="Cambria" w:hAnsi="Cambria" w:cs="Cambria"/>
          <w:lang w:val="en"/>
        </w:rPr>
        <w:tab/>
      </w:r>
      <w:r w:rsidR="00855E48">
        <w:rPr>
          <w:rFonts w:ascii="Cambria" w:hAnsi="Cambria" w:cs="Cambria"/>
          <w:lang w:val="en"/>
        </w:rPr>
        <w:t>Interestingly</w:t>
      </w:r>
      <w:r>
        <w:rPr>
          <w:rFonts w:ascii="Cambria" w:hAnsi="Cambria" w:cs="Cambria"/>
          <w:lang w:val="en"/>
        </w:rPr>
        <w:t xml:space="preserve">, </w:t>
      </w:r>
      <w:r w:rsidR="006409D3">
        <w:rPr>
          <w:rFonts w:ascii="Cambria" w:hAnsi="Cambria" w:cs="Cambria"/>
          <w:lang w:val="en"/>
        </w:rPr>
        <w:t xml:space="preserve">the AS group also </w:t>
      </w:r>
      <w:r w:rsidR="00FB2E1A">
        <w:rPr>
          <w:rFonts w:ascii="Cambria" w:hAnsi="Cambria" w:cs="Cambria"/>
          <w:lang w:val="en"/>
        </w:rPr>
        <w:t xml:space="preserve">displayed significantly higher scores than at least one other group </w:t>
      </w:r>
      <w:r>
        <w:rPr>
          <w:rFonts w:ascii="Cambria" w:hAnsi="Cambria" w:cs="Cambria"/>
          <w:lang w:val="en"/>
        </w:rPr>
        <w:t>on the composite negative behavior scale</w:t>
      </w:r>
      <w:r w:rsidR="00FB2E1A">
        <w:rPr>
          <w:rFonts w:ascii="Cambria" w:hAnsi="Cambria" w:cs="Cambria"/>
          <w:lang w:val="en"/>
        </w:rPr>
        <w:t xml:space="preserve">, taking and storing food, preoccupation </w:t>
      </w:r>
      <w:r w:rsidR="0029287D">
        <w:rPr>
          <w:rFonts w:ascii="Cambria" w:hAnsi="Cambria" w:cs="Cambria"/>
          <w:lang w:val="en"/>
        </w:rPr>
        <w:t>with food and impaired satiety</w:t>
      </w:r>
      <w:r>
        <w:rPr>
          <w:rFonts w:ascii="Cambria" w:hAnsi="Cambria" w:cs="Cambria"/>
          <w:lang w:val="en"/>
        </w:rPr>
        <w:t xml:space="preserve">. </w:t>
      </w:r>
      <w:r w:rsidR="0029287D">
        <w:rPr>
          <w:rFonts w:ascii="Cambria" w:hAnsi="Cambria" w:cs="Cambria"/>
          <w:lang w:val="en"/>
        </w:rPr>
        <w:t>There were trends towards higher scores in the AS than PWS groups o</w:t>
      </w:r>
      <w:r w:rsidR="002631EB">
        <w:rPr>
          <w:rFonts w:ascii="Cambria" w:hAnsi="Cambria" w:cs="Cambria"/>
          <w:lang w:val="en"/>
        </w:rPr>
        <w:t>n the negative behavior composite and, within this, measures of inappropriate negative behavior and eating inedible items</w:t>
      </w:r>
      <w:r w:rsidR="0029287D">
        <w:rPr>
          <w:rFonts w:ascii="Cambria" w:hAnsi="Cambria" w:cs="Cambria"/>
          <w:lang w:val="en"/>
        </w:rPr>
        <w:t xml:space="preserve">. </w:t>
      </w:r>
      <w:r>
        <w:rPr>
          <w:rFonts w:ascii="Cambria" w:hAnsi="Cambria" w:cs="Cambria"/>
          <w:lang w:val="en"/>
        </w:rPr>
        <w:t xml:space="preserve">Over 65% of the AS group scored </w:t>
      </w:r>
      <w:r w:rsidR="00BD61F3">
        <w:rPr>
          <w:rFonts w:ascii="Cambria" w:hAnsi="Cambria" w:cs="Cambria"/>
          <w:lang w:val="en"/>
        </w:rPr>
        <w:t xml:space="preserve">at or </w:t>
      </w:r>
      <w:r>
        <w:rPr>
          <w:rFonts w:ascii="Cambria" w:hAnsi="Cambria" w:cs="Cambria"/>
          <w:lang w:val="en"/>
        </w:rPr>
        <w:t>above the 50</w:t>
      </w:r>
      <w:r>
        <w:rPr>
          <w:rFonts w:ascii="Cambria" w:hAnsi="Cambria" w:cs="Cambria"/>
          <w:vertAlign w:val="superscript"/>
          <w:lang w:val="en"/>
        </w:rPr>
        <w:t>th</w:t>
      </w:r>
      <w:r>
        <w:rPr>
          <w:rFonts w:ascii="Cambria" w:hAnsi="Cambria" w:cs="Cambria"/>
          <w:lang w:val="en"/>
        </w:rPr>
        <w:t xml:space="preserve"> percentile </w:t>
      </w:r>
      <w:r w:rsidR="004433DC">
        <w:rPr>
          <w:rFonts w:ascii="Cambria" w:hAnsi="Cambria" w:cs="Cambria"/>
          <w:lang w:val="en"/>
        </w:rPr>
        <w:t>of PWS group scores</w:t>
      </w:r>
      <w:r>
        <w:rPr>
          <w:rFonts w:ascii="Cambria" w:hAnsi="Cambria" w:cs="Cambria"/>
          <w:lang w:val="en"/>
        </w:rPr>
        <w:t xml:space="preserve"> on the composite negative behaviors measure, a proportion which significantly exceeded that identified in the FXS and CdLS groups. More than 50% of participants in the AS group scored</w:t>
      </w:r>
      <w:r w:rsidR="000B5C4B">
        <w:rPr>
          <w:rFonts w:ascii="Cambria" w:hAnsi="Cambria" w:cs="Cambria"/>
          <w:lang w:val="en"/>
        </w:rPr>
        <w:t xml:space="preserve"> at or</w:t>
      </w:r>
      <w:r>
        <w:rPr>
          <w:rFonts w:ascii="Cambria" w:hAnsi="Cambria" w:cs="Cambria"/>
          <w:lang w:val="en"/>
        </w:rPr>
        <w:t xml:space="preserve"> above the 50</w:t>
      </w:r>
      <w:r>
        <w:rPr>
          <w:rFonts w:ascii="Cambria" w:hAnsi="Cambria" w:cs="Cambria"/>
          <w:vertAlign w:val="superscript"/>
          <w:lang w:val="en"/>
        </w:rPr>
        <w:t>th</w:t>
      </w:r>
      <w:r>
        <w:rPr>
          <w:rFonts w:ascii="Cambria" w:hAnsi="Cambria" w:cs="Cambria"/>
          <w:lang w:val="en"/>
        </w:rPr>
        <w:t xml:space="preserve"> percentile in relation to the PWS group on measures of taking and storing food, a proportion significantly exceeding that in all three other groups (FXS, 1p36, CdLS). These data indicate that a large proportion of people with AS may be displaying high levels of problematic food-related behaviors, perhaps even in relation to those with PWS</w:t>
      </w:r>
      <w:r w:rsidR="00E63348">
        <w:rPr>
          <w:rFonts w:ascii="Cambria" w:hAnsi="Cambria" w:cs="Cambria"/>
          <w:lang w:val="en"/>
        </w:rPr>
        <w:t xml:space="preserve">, </w:t>
      </w:r>
      <w:r w:rsidR="006E6032">
        <w:rPr>
          <w:rFonts w:ascii="Cambria" w:hAnsi="Cambria" w:cs="Cambria"/>
          <w:lang w:val="en"/>
        </w:rPr>
        <w:t xml:space="preserve">a syndrome </w:t>
      </w:r>
      <w:r w:rsidR="00E63348">
        <w:rPr>
          <w:rFonts w:ascii="Cambria" w:hAnsi="Cambria" w:cs="Cambria"/>
          <w:lang w:val="en"/>
        </w:rPr>
        <w:t>in which food-related behavior problems have been considered a cardin</w:t>
      </w:r>
      <w:r w:rsidR="008E3DE0">
        <w:rPr>
          <w:rFonts w:ascii="Cambria" w:hAnsi="Cambria" w:cs="Cambria"/>
          <w:lang w:val="en"/>
        </w:rPr>
        <w:t>al feature</w:t>
      </w:r>
      <w:r>
        <w:rPr>
          <w:rFonts w:ascii="Cambria" w:hAnsi="Cambria" w:cs="Cambria"/>
          <w:lang w:val="en"/>
        </w:rPr>
        <w:t>.</w:t>
      </w:r>
      <w:r w:rsidR="00810A53" w:rsidRPr="00810A53">
        <w:rPr>
          <w:rFonts w:ascii="Cambria" w:hAnsi="Cambria" w:cs="Cambria"/>
          <w:lang w:val="en"/>
        </w:rPr>
        <w:t xml:space="preserve"> </w:t>
      </w:r>
    </w:p>
    <w:p w:rsidR="00BD0108" w:rsidRDefault="00BD0108" w:rsidP="00BD0108">
      <w:pPr>
        <w:widowControl w:val="0"/>
        <w:autoSpaceDE w:val="0"/>
        <w:autoSpaceDN w:val="0"/>
        <w:adjustRightInd w:val="0"/>
        <w:spacing w:line="480" w:lineRule="auto"/>
        <w:rPr>
          <w:rFonts w:ascii="Cambria" w:hAnsi="Cambria" w:cs="Cambria"/>
          <w:lang w:val="en"/>
        </w:rPr>
      </w:pPr>
      <w:r>
        <w:rPr>
          <w:rFonts w:ascii="Cambria" w:hAnsi="Cambria" w:cs="Cambria"/>
          <w:lang w:val="en"/>
        </w:rPr>
        <w:tab/>
        <w:t>AS is known to be associated with low intellectual functioning, a finding which was reflected in our data, with the AS group showing significantly lower levels of self-</w:t>
      </w:r>
      <w:r>
        <w:rPr>
          <w:rFonts w:ascii="Cambria" w:hAnsi="Cambria" w:cs="Cambria"/>
          <w:lang w:val="en"/>
        </w:rPr>
        <w:lastRenderedPageBreak/>
        <w:t xml:space="preserve">help ability </w:t>
      </w:r>
      <w:r w:rsidR="00520F3F">
        <w:rPr>
          <w:rFonts w:ascii="Cambria" w:hAnsi="Cambria" w:cs="Cambria"/>
          <w:lang w:val="en"/>
        </w:rPr>
        <w:t xml:space="preserve">(used as a proxy for level of intellectual ability) </w:t>
      </w:r>
      <w:r>
        <w:rPr>
          <w:rFonts w:ascii="Cambria" w:hAnsi="Cambria" w:cs="Cambria"/>
          <w:lang w:val="en"/>
        </w:rPr>
        <w:t>than t</w:t>
      </w:r>
      <w:r w:rsidR="0099720F">
        <w:rPr>
          <w:rFonts w:ascii="Cambria" w:hAnsi="Cambria" w:cs="Cambria"/>
          <w:lang w:val="en"/>
        </w:rPr>
        <w:t xml:space="preserve">wo other groups (PWS and FXS). </w:t>
      </w:r>
      <w:r w:rsidR="00876FE0">
        <w:rPr>
          <w:rFonts w:ascii="Cambria" w:hAnsi="Cambria" w:cs="Cambria"/>
          <w:lang w:val="en"/>
        </w:rPr>
        <w:t xml:space="preserve">This raises the possibility that low levels of intellectual ability </w:t>
      </w:r>
      <w:r w:rsidR="00C0736F">
        <w:rPr>
          <w:rFonts w:ascii="Cambria" w:hAnsi="Cambria" w:cs="Cambria"/>
          <w:lang w:val="en"/>
        </w:rPr>
        <w:t xml:space="preserve">contribute to the AS group’s high levels of food-related behavior problems. </w:t>
      </w:r>
      <w:r w:rsidR="00AC037F">
        <w:rPr>
          <w:rFonts w:ascii="Cambria" w:hAnsi="Cambria" w:cs="Cambria"/>
          <w:lang w:val="en"/>
        </w:rPr>
        <w:t xml:space="preserve">It is </w:t>
      </w:r>
      <w:r w:rsidR="00421A2C">
        <w:rPr>
          <w:rFonts w:ascii="Cambria" w:hAnsi="Cambria" w:cs="Cambria"/>
          <w:lang w:val="en"/>
        </w:rPr>
        <w:t>very difficult to</w:t>
      </w:r>
      <w:r w:rsidR="00AC037F">
        <w:rPr>
          <w:rFonts w:ascii="Cambria" w:hAnsi="Cambria" w:cs="Cambria"/>
          <w:lang w:val="en"/>
        </w:rPr>
        <w:t xml:space="preserve"> account for such possibilities when comparing genetic neurodevelopmental syndrome groups, since </w:t>
      </w:r>
      <w:r w:rsidR="00D00B8F">
        <w:rPr>
          <w:rFonts w:ascii="Cambria" w:hAnsi="Cambria" w:cs="Cambria"/>
          <w:lang w:val="en"/>
        </w:rPr>
        <w:t>ability level will necessarily</w:t>
      </w:r>
      <w:r w:rsidR="00AC037F">
        <w:rPr>
          <w:rFonts w:ascii="Cambria" w:hAnsi="Cambria" w:cs="Cambria"/>
          <w:lang w:val="en"/>
        </w:rPr>
        <w:t xml:space="preserve"> be confou</w:t>
      </w:r>
      <w:r w:rsidR="009904C4">
        <w:rPr>
          <w:rFonts w:ascii="Cambria" w:hAnsi="Cambria" w:cs="Cambria"/>
          <w:lang w:val="en"/>
        </w:rPr>
        <w:t>nded with other syndrome-specific elements of the behavioral phenotype</w:t>
      </w:r>
      <w:r w:rsidR="00AC037F">
        <w:rPr>
          <w:rFonts w:ascii="Cambria" w:hAnsi="Cambria" w:cs="Cambria"/>
          <w:lang w:val="en"/>
        </w:rPr>
        <w:t xml:space="preserve">. </w:t>
      </w:r>
      <w:r w:rsidR="00D00B8F">
        <w:rPr>
          <w:rFonts w:ascii="Cambria" w:hAnsi="Cambria" w:cs="Cambria"/>
          <w:lang w:val="en"/>
        </w:rPr>
        <w:t>However</w:t>
      </w:r>
      <w:r w:rsidR="00976CFD">
        <w:rPr>
          <w:rFonts w:ascii="Cambria" w:hAnsi="Cambria" w:cs="Cambria"/>
          <w:lang w:val="en"/>
        </w:rPr>
        <w:t>, i</w:t>
      </w:r>
      <w:r>
        <w:rPr>
          <w:rFonts w:ascii="Cambria" w:hAnsi="Cambria" w:cs="Cambria"/>
          <w:lang w:val="en"/>
        </w:rPr>
        <w:t xml:space="preserve">t should be noted that 1p36 and CdLS are also associated with </w:t>
      </w:r>
      <w:r w:rsidR="001D6CA2">
        <w:rPr>
          <w:rFonts w:ascii="Cambria" w:hAnsi="Cambria" w:cs="Cambria"/>
          <w:lang w:val="en"/>
        </w:rPr>
        <w:t>low levels of intellectual ability</w:t>
      </w:r>
      <w:r>
        <w:rPr>
          <w:rFonts w:ascii="Cambria" w:hAnsi="Cambria" w:cs="Cambria"/>
          <w:lang w:val="en"/>
        </w:rPr>
        <w:t>, that there were no significant differences between the self-help scores of the A</w:t>
      </w:r>
      <w:r w:rsidR="0015546E">
        <w:rPr>
          <w:rFonts w:ascii="Cambria" w:hAnsi="Cambria" w:cs="Cambria"/>
          <w:lang w:val="en"/>
        </w:rPr>
        <w:t>S, 1p36 and CdLS group</w:t>
      </w:r>
      <w:r w:rsidR="003F2715">
        <w:rPr>
          <w:rFonts w:ascii="Cambria" w:hAnsi="Cambria" w:cs="Cambria"/>
          <w:lang w:val="en"/>
        </w:rPr>
        <w:t>s</w:t>
      </w:r>
      <w:r w:rsidR="00544063">
        <w:rPr>
          <w:rFonts w:ascii="Cambria" w:hAnsi="Cambria" w:cs="Cambria"/>
          <w:lang w:val="en"/>
        </w:rPr>
        <w:t>, and that</w:t>
      </w:r>
      <w:r w:rsidR="007D4508">
        <w:rPr>
          <w:rFonts w:ascii="Cambria" w:hAnsi="Cambria" w:cs="Cambria"/>
          <w:lang w:val="en"/>
        </w:rPr>
        <w:t xml:space="preserve"> p</w:t>
      </w:r>
      <w:r>
        <w:rPr>
          <w:rFonts w:ascii="Cambria" w:hAnsi="Cambria" w:cs="Cambria"/>
          <w:lang w:val="en"/>
        </w:rPr>
        <w:t xml:space="preserve">articipants in the CdLS and 1p36 groups did not display any significant elevation in scores on any </w:t>
      </w:r>
      <w:r w:rsidR="000B08E9">
        <w:rPr>
          <w:rFonts w:ascii="Cambria" w:hAnsi="Cambria" w:cs="Cambria"/>
          <w:lang w:val="en"/>
        </w:rPr>
        <w:t>subscale of the FRPQ</w:t>
      </w:r>
      <w:r>
        <w:rPr>
          <w:rFonts w:ascii="Cambria" w:hAnsi="Cambria" w:cs="Cambria"/>
          <w:lang w:val="en"/>
        </w:rPr>
        <w:t>.</w:t>
      </w:r>
      <w:r w:rsidR="002421C1">
        <w:rPr>
          <w:rFonts w:ascii="Cambria" w:hAnsi="Cambria" w:cs="Cambria"/>
          <w:lang w:val="en"/>
        </w:rPr>
        <w:t xml:space="preserve"> PWS</w:t>
      </w:r>
      <w:r w:rsidR="008A71DC">
        <w:rPr>
          <w:rFonts w:ascii="Cambria" w:hAnsi="Cambria" w:cs="Cambria"/>
          <w:lang w:val="en"/>
        </w:rPr>
        <w:t>, the syndrome group most associated</w:t>
      </w:r>
      <w:r w:rsidR="002421C1">
        <w:rPr>
          <w:rFonts w:ascii="Cambria" w:hAnsi="Cambria" w:cs="Cambria"/>
          <w:lang w:val="en"/>
        </w:rPr>
        <w:t xml:space="preserve"> </w:t>
      </w:r>
      <w:r w:rsidR="00AE2848">
        <w:rPr>
          <w:rFonts w:ascii="Cambria" w:hAnsi="Cambria" w:cs="Cambria"/>
          <w:lang w:val="en"/>
        </w:rPr>
        <w:t xml:space="preserve">with </w:t>
      </w:r>
      <w:r w:rsidR="00D81F09">
        <w:rPr>
          <w:rFonts w:ascii="Cambria" w:hAnsi="Cambria" w:cs="Cambria"/>
          <w:lang w:val="en"/>
        </w:rPr>
        <w:t>high levels of food-related behavior problems</w:t>
      </w:r>
      <w:r w:rsidR="008A71DC">
        <w:rPr>
          <w:rFonts w:ascii="Cambria" w:hAnsi="Cambria" w:cs="Cambria"/>
          <w:lang w:val="en"/>
        </w:rPr>
        <w:t>, is associated with only relatively mild intellectual disability</w:t>
      </w:r>
      <w:r w:rsidR="00D81F09">
        <w:rPr>
          <w:rFonts w:ascii="Cambria" w:hAnsi="Cambria" w:cs="Cambria"/>
          <w:lang w:val="en"/>
        </w:rPr>
        <w:t>,</w:t>
      </w:r>
      <w:r w:rsidR="00CE193F">
        <w:rPr>
          <w:rFonts w:ascii="Cambria" w:hAnsi="Cambria" w:cs="Cambria"/>
          <w:lang w:val="en"/>
        </w:rPr>
        <w:t xml:space="preserve"> </w:t>
      </w:r>
      <w:r w:rsidR="00CC15E4">
        <w:rPr>
          <w:rFonts w:ascii="Cambria" w:hAnsi="Cambria" w:cs="Cambria"/>
          <w:lang w:val="en"/>
        </w:rPr>
        <w:t>confirm</w:t>
      </w:r>
      <w:r w:rsidR="00D615F7">
        <w:rPr>
          <w:rFonts w:ascii="Cambria" w:hAnsi="Cambria" w:cs="Cambria"/>
          <w:lang w:val="en"/>
        </w:rPr>
        <w:t xml:space="preserve">ing that </w:t>
      </w:r>
      <w:r w:rsidR="009A7A62">
        <w:rPr>
          <w:rFonts w:ascii="Cambria" w:hAnsi="Cambria" w:cs="Cambria"/>
          <w:lang w:val="en"/>
        </w:rPr>
        <w:t xml:space="preserve">factors other than </w:t>
      </w:r>
      <w:r w:rsidR="00067CD7">
        <w:rPr>
          <w:rFonts w:ascii="Cambria" w:hAnsi="Cambria" w:cs="Cambria"/>
          <w:lang w:val="en"/>
        </w:rPr>
        <w:t xml:space="preserve">low </w:t>
      </w:r>
      <w:r w:rsidR="009A7A62">
        <w:rPr>
          <w:rFonts w:ascii="Cambria" w:hAnsi="Cambria" w:cs="Cambria"/>
          <w:lang w:val="en"/>
        </w:rPr>
        <w:t>intellectual disability are important in determining such behaviors.</w:t>
      </w:r>
      <w:r>
        <w:rPr>
          <w:rFonts w:ascii="Cambria" w:hAnsi="Cambria" w:cs="Cambria"/>
          <w:lang w:val="en"/>
        </w:rPr>
        <w:t xml:space="preserve"> </w:t>
      </w:r>
      <w:r w:rsidR="000E35B9">
        <w:rPr>
          <w:rFonts w:ascii="Cambria" w:hAnsi="Cambria" w:cs="Cambria"/>
          <w:lang w:val="en"/>
        </w:rPr>
        <w:t>In the current data, t</w:t>
      </w:r>
      <w:r w:rsidR="00336637">
        <w:rPr>
          <w:rFonts w:ascii="Cambria" w:hAnsi="Cambria" w:cs="Cambria"/>
          <w:lang w:val="en"/>
        </w:rPr>
        <w:t>he patterns of results were</w:t>
      </w:r>
      <w:r w:rsidR="008758D6">
        <w:rPr>
          <w:rFonts w:ascii="Cambria" w:hAnsi="Cambria" w:cs="Cambria"/>
          <w:lang w:val="en"/>
        </w:rPr>
        <w:t xml:space="preserve"> broadly similar when self-help ability was added </w:t>
      </w:r>
      <w:r w:rsidR="007016BD">
        <w:rPr>
          <w:rFonts w:ascii="Cambria" w:hAnsi="Cambria" w:cs="Cambria"/>
          <w:lang w:val="en"/>
        </w:rPr>
        <w:t>as a covariate in the analyses</w:t>
      </w:r>
      <w:r w:rsidR="00D74753">
        <w:rPr>
          <w:rFonts w:ascii="Cambria" w:hAnsi="Cambria" w:cs="Cambria"/>
          <w:lang w:val="en"/>
        </w:rPr>
        <w:t xml:space="preserve"> (see Table III)</w:t>
      </w:r>
      <w:r w:rsidR="00B27985">
        <w:rPr>
          <w:rFonts w:ascii="Cambria" w:hAnsi="Cambria" w:cs="Cambria"/>
          <w:lang w:val="en"/>
        </w:rPr>
        <w:t>, with syndrome group remaining an important determinant of food-related problem behaviors</w:t>
      </w:r>
      <w:r w:rsidR="007016BD">
        <w:rPr>
          <w:rFonts w:ascii="Cambria" w:hAnsi="Cambria" w:cs="Cambria"/>
          <w:lang w:val="en"/>
        </w:rPr>
        <w:t>.</w:t>
      </w:r>
      <w:r w:rsidR="00D74753">
        <w:rPr>
          <w:rFonts w:ascii="Cambria" w:hAnsi="Cambria" w:cs="Cambria"/>
          <w:lang w:val="en"/>
        </w:rPr>
        <w:t xml:space="preserve"> </w:t>
      </w:r>
      <w:r w:rsidR="006E1885">
        <w:rPr>
          <w:rFonts w:ascii="Cambria" w:hAnsi="Cambria" w:cs="Cambria"/>
          <w:lang w:val="en"/>
        </w:rPr>
        <w:t>The relationship</w:t>
      </w:r>
      <w:r w:rsidR="00923CC3">
        <w:rPr>
          <w:rFonts w:ascii="Cambria" w:hAnsi="Cambria" w:cs="Cambria"/>
          <w:lang w:val="en"/>
        </w:rPr>
        <w:t>s</w:t>
      </w:r>
      <w:r w:rsidR="006E1885">
        <w:rPr>
          <w:rFonts w:ascii="Cambria" w:hAnsi="Cambria" w:cs="Cambria"/>
          <w:lang w:val="en"/>
        </w:rPr>
        <w:t xml:space="preserve"> between food-related behavior problems and other factors (including intellectual disability) </w:t>
      </w:r>
      <w:r w:rsidR="00923CC3">
        <w:rPr>
          <w:rFonts w:ascii="Cambria" w:hAnsi="Cambria" w:cs="Cambria"/>
          <w:lang w:val="en"/>
        </w:rPr>
        <w:t xml:space="preserve">in AS and other syndrome groups remains to be explored </w:t>
      </w:r>
      <w:r w:rsidR="00A1342E">
        <w:rPr>
          <w:rFonts w:ascii="Cambria" w:hAnsi="Cambria" w:cs="Cambria"/>
          <w:lang w:val="en"/>
        </w:rPr>
        <w:t>in future research.</w:t>
      </w:r>
    </w:p>
    <w:p w:rsidR="00BD0108" w:rsidRDefault="00BD0108" w:rsidP="00BD0108">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The</w:t>
      </w:r>
      <w:r w:rsidR="005708CF">
        <w:rPr>
          <w:rFonts w:ascii="Cambria" w:hAnsi="Cambria" w:cs="Cambria"/>
          <w:lang w:val="en"/>
        </w:rPr>
        <w:t xml:space="preserve"> </w:t>
      </w:r>
      <w:r w:rsidR="00723D46">
        <w:rPr>
          <w:rFonts w:ascii="Cambria" w:hAnsi="Cambria" w:cs="Cambria"/>
          <w:lang w:val="en"/>
        </w:rPr>
        <w:t xml:space="preserve">possible </w:t>
      </w:r>
      <w:r>
        <w:rPr>
          <w:rFonts w:ascii="Cambria" w:hAnsi="Cambria" w:cs="Cambria"/>
          <w:lang w:val="en"/>
        </w:rPr>
        <w:t>theoretical implications of significant eating problems in AS, overlapping with the types seen in PWS,</w:t>
      </w:r>
      <w:r w:rsidR="00723D46">
        <w:rPr>
          <w:rFonts w:ascii="Cambria" w:hAnsi="Cambria" w:cs="Cambria"/>
          <w:lang w:val="en"/>
        </w:rPr>
        <w:t xml:space="preserve"> are </w:t>
      </w:r>
      <w:r w:rsidR="005708CF">
        <w:rPr>
          <w:rFonts w:ascii="Cambria" w:hAnsi="Cambria" w:cs="Cambria"/>
          <w:lang w:val="en"/>
        </w:rPr>
        <w:t>intriguing</w:t>
      </w:r>
      <w:r>
        <w:rPr>
          <w:rFonts w:ascii="Cambria" w:hAnsi="Cambria" w:cs="Cambria"/>
          <w:lang w:val="en"/>
        </w:rPr>
        <w:t>. Much has been made of the significance of the maternally- and paternally- derived nature of the two syndromes in relation to the allocation of resources (including food) elicited by their phenotypic behavior</w:t>
      </w:r>
      <w:r w:rsidR="00432440">
        <w:rPr>
          <w:rFonts w:ascii="Cambria" w:hAnsi="Cambria" w:cs="Cambria"/>
          <w:lang w:val="en"/>
        </w:rPr>
        <w:t>s [e.g., Haig and Wharton, 2003</w:t>
      </w:r>
      <w:r w:rsidR="004E4077">
        <w:rPr>
          <w:rFonts w:ascii="Cambria" w:hAnsi="Cambria" w:cs="Cambria"/>
          <w:lang w:val="en"/>
        </w:rPr>
        <w:t>; Haig, 2014</w:t>
      </w:r>
      <w:r w:rsidR="00432440">
        <w:rPr>
          <w:rFonts w:ascii="Cambria" w:hAnsi="Cambria" w:cs="Cambria"/>
          <w:lang w:val="en"/>
        </w:rPr>
        <w:t>]</w:t>
      </w:r>
      <w:r>
        <w:rPr>
          <w:rFonts w:ascii="Cambria" w:hAnsi="Cambria" w:cs="Cambria"/>
          <w:lang w:val="en"/>
        </w:rPr>
        <w:t xml:space="preserve">. Whilst we are in the early stages of understanding of the nuances of disordered eating in AS, our data suggest that similarities between AS and PWS in the extent and type of problematic food-related </w:t>
      </w:r>
      <w:r>
        <w:rPr>
          <w:rFonts w:ascii="Cambria" w:hAnsi="Cambria" w:cs="Cambria"/>
          <w:lang w:val="en"/>
        </w:rPr>
        <w:lastRenderedPageBreak/>
        <w:t>behaviors may be greater than has previously been thought. The similarities and differences between the eating-related issues in AS and PWS should be examined in further detail, both empirically and theoretically, in future work.</w:t>
      </w:r>
      <w:r w:rsidR="00362659">
        <w:rPr>
          <w:rFonts w:ascii="Cambria" w:hAnsi="Cambria" w:cs="Cambria"/>
          <w:lang w:val="en"/>
        </w:rPr>
        <w:t xml:space="preserve"> Such work should also consider</w:t>
      </w:r>
      <w:r w:rsidR="00EE62AA">
        <w:rPr>
          <w:rFonts w:ascii="Cambria" w:hAnsi="Cambria" w:cs="Cambria"/>
          <w:lang w:val="en"/>
        </w:rPr>
        <w:t xml:space="preserve"> eating behavior in relation to</w:t>
      </w:r>
      <w:r w:rsidR="00362659">
        <w:rPr>
          <w:rFonts w:ascii="Cambria" w:hAnsi="Cambria" w:cs="Cambria"/>
          <w:lang w:val="en"/>
        </w:rPr>
        <w:t xml:space="preserve"> the specific genetic mechanisms </w:t>
      </w:r>
      <w:r w:rsidR="00401219">
        <w:rPr>
          <w:rFonts w:ascii="Cambria" w:hAnsi="Cambria" w:cs="Cambria"/>
          <w:lang w:val="en"/>
        </w:rPr>
        <w:t>underlying AS and PWS in individuals; the lack of such available information in the current stu</w:t>
      </w:r>
      <w:r w:rsidR="00821286">
        <w:rPr>
          <w:rFonts w:ascii="Cambria" w:hAnsi="Cambria" w:cs="Cambria"/>
          <w:lang w:val="en"/>
        </w:rPr>
        <w:t>dy is a significant limitation.</w:t>
      </w:r>
    </w:p>
    <w:p w:rsidR="00BD0108" w:rsidRDefault="00BD0108" w:rsidP="00E449A0">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Whilst the data indicated food-related behavioral problems in participants with PWS and AS (in relation to other syndrome groups), there was no evidence on any subscale that the 1p36 syndrome group displayed significantly higher scores than other groups. This is intriguing in the context of the reported associations of mutations of this genetic region with hyperphagia and obesity [e.g., D’Angelo et al., 2006; 2009]. However, it may be that only a small proportion of people diagnosed with 1p36 syndrome are affected by these symptoms</w:t>
      </w:r>
      <w:r w:rsidR="00E01936">
        <w:rPr>
          <w:rFonts w:ascii="Cambria" w:hAnsi="Cambria" w:cs="Cambria"/>
          <w:lang w:val="en"/>
        </w:rPr>
        <w:t xml:space="preserve"> </w:t>
      </w:r>
      <w:r w:rsidR="003E1926">
        <w:rPr>
          <w:rFonts w:ascii="Cambria" w:hAnsi="Cambria" w:cs="Cambria"/>
          <w:lang w:val="en"/>
        </w:rPr>
        <w:t xml:space="preserve">[see also </w:t>
      </w:r>
      <w:r>
        <w:rPr>
          <w:rFonts w:ascii="Cambria" w:hAnsi="Cambria" w:cs="Cambria"/>
          <w:lang w:val="en"/>
        </w:rPr>
        <w:t>Rodrigues et al.</w:t>
      </w:r>
      <w:r w:rsidR="003E1926">
        <w:rPr>
          <w:rFonts w:ascii="Cambria" w:hAnsi="Cambria" w:cs="Cambria"/>
          <w:lang w:val="en"/>
        </w:rPr>
        <w:t>,</w:t>
      </w:r>
      <w:r>
        <w:rPr>
          <w:rFonts w:ascii="Cambria" w:hAnsi="Cambria" w:cs="Cambria"/>
          <w:lang w:val="en"/>
        </w:rPr>
        <w:t xml:space="preserve"> 2008</w:t>
      </w:r>
      <w:r w:rsidR="003E1926">
        <w:rPr>
          <w:rFonts w:ascii="Cambria" w:hAnsi="Cambria" w:cs="Cambria"/>
          <w:lang w:val="en"/>
        </w:rPr>
        <w:t>]</w:t>
      </w:r>
      <w:r w:rsidR="000B2D16">
        <w:rPr>
          <w:rFonts w:ascii="Cambria" w:hAnsi="Cambria" w:cs="Cambria"/>
          <w:lang w:val="en"/>
        </w:rPr>
        <w:t>, and it may be that there is an effect of genetic subtype</w:t>
      </w:r>
      <w:r w:rsidR="00821286">
        <w:rPr>
          <w:rFonts w:ascii="Cambria" w:hAnsi="Cambria" w:cs="Cambria"/>
          <w:lang w:val="en"/>
        </w:rPr>
        <w:t>, a factor not explored in the current analysis</w:t>
      </w:r>
      <w:r w:rsidR="00196FE5">
        <w:rPr>
          <w:rFonts w:ascii="Cambria" w:hAnsi="Cambria" w:cs="Cambria"/>
          <w:lang w:val="en"/>
        </w:rPr>
        <w:t>.</w:t>
      </w:r>
      <w:r>
        <w:rPr>
          <w:rFonts w:ascii="Cambria" w:hAnsi="Cambria" w:cs="Cambria"/>
          <w:lang w:val="en"/>
        </w:rPr>
        <w:t xml:space="preserve"> The data were also not suggestive of any elevated scores in the FXS group</w:t>
      </w:r>
      <w:r w:rsidR="003A103B">
        <w:rPr>
          <w:rFonts w:ascii="Cambria" w:hAnsi="Cambria" w:cs="Cambria"/>
          <w:lang w:val="en"/>
        </w:rPr>
        <w:t xml:space="preserve"> relative to any other</w:t>
      </w:r>
      <w:r>
        <w:rPr>
          <w:rFonts w:ascii="Cambria" w:hAnsi="Cambria" w:cs="Cambria"/>
          <w:lang w:val="en"/>
        </w:rPr>
        <w:t>. This may be commensurate with the notion that PWS-like phenotype is rare in FXS [e.g., Garcia-Nonell et al., 2009].</w:t>
      </w:r>
      <w:r w:rsidR="001C15AF">
        <w:rPr>
          <w:rFonts w:ascii="Cambria" w:hAnsi="Cambria" w:cs="Cambria"/>
          <w:lang w:val="en"/>
        </w:rPr>
        <w:t xml:space="preserve"> </w:t>
      </w:r>
      <w:r w:rsidR="00D12F44">
        <w:rPr>
          <w:rFonts w:ascii="Cambria" w:hAnsi="Cambria" w:cs="Cambria"/>
          <w:lang w:val="en"/>
        </w:rPr>
        <w:t>The CdLS group</w:t>
      </w:r>
      <w:r>
        <w:rPr>
          <w:rFonts w:ascii="Cambria" w:hAnsi="Cambria" w:cs="Cambria"/>
          <w:lang w:val="en"/>
        </w:rPr>
        <w:t xml:space="preserve"> did not show any significantly elevated scores relative to any other group on any subscale of the FRPQ</w:t>
      </w:r>
      <w:r w:rsidR="00123A86">
        <w:rPr>
          <w:rFonts w:ascii="Cambria" w:hAnsi="Cambria" w:cs="Cambria"/>
          <w:lang w:val="en"/>
        </w:rPr>
        <w:t>, a resu</w:t>
      </w:r>
      <w:r w:rsidR="00D12F44">
        <w:rPr>
          <w:rFonts w:ascii="Cambria" w:hAnsi="Cambria" w:cs="Cambria"/>
          <w:lang w:val="en"/>
        </w:rPr>
        <w:t>lt which would be expected on the basis of</w:t>
      </w:r>
      <w:r>
        <w:rPr>
          <w:rFonts w:ascii="Cambria" w:hAnsi="Cambria" w:cs="Cambria"/>
          <w:lang w:val="en"/>
        </w:rPr>
        <w:t xml:space="preserve"> the relative absence of the types of food-related behaviors seen in PWS in the reported behavioral phenotypes of this syndrome group. </w:t>
      </w:r>
    </w:p>
    <w:p w:rsidR="002A5597" w:rsidRPr="002A5597" w:rsidRDefault="002A5597" w:rsidP="00BD0108">
      <w:pPr>
        <w:widowControl w:val="0"/>
        <w:autoSpaceDE w:val="0"/>
        <w:autoSpaceDN w:val="0"/>
        <w:adjustRightInd w:val="0"/>
        <w:spacing w:line="480" w:lineRule="auto"/>
        <w:rPr>
          <w:rFonts w:ascii="Cambria" w:hAnsi="Cambria" w:cs="Cambria"/>
          <w:b/>
          <w:lang w:val="en"/>
        </w:rPr>
      </w:pPr>
      <w:r>
        <w:rPr>
          <w:rFonts w:ascii="Cambria" w:hAnsi="Cambria" w:cs="Cambria"/>
          <w:b/>
          <w:lang w:val="en"/>
        </w:rPr>
        <w:t>Limitations</w:t>
      </w:r>
    </w:p>
    <w:p w:rsidR="00A91C35" w:rsidRDefault="00BD0108" w:rsidP="002A5597">
      <w:pPr>
        <w:widowControl w:val="0"/>
        <w:autoSpaceDE w:val="0"/>
        <w:autoSpaceDN w:val="0"/>
        <w:adjustRightInd w:val="0"/>
        <w:spacing w:line="480" w:lineRule="auto"/>
        <w:ind w:firstLine="720"/>
        <w:rPr>
          <w:lang w:val="en"/>
        </w:rPr>
      </w:pPr>
      <w:r>
        <w:rPr>
          <w:rFonts w:ascii="Cambria" w:hAnsi="Cambria" w:cs="Cambria"/>
          <w:lang w:val="en"/>
        </w:rPr>
        <w:t xml:space="preserve">A major factor to consider in interpretation of the current data is that the FRPQ was designed to capture the aspects of problematic food-related behavior typically seen in PWS. This means that further aspects of food- and eating-related behavior problems which are potentially characteristic of other syndrome groups </w:t>
      </w:r>
      <w:r w:rsidR="0064767F">
        <w:rPr>
          <w:rFonts w:ascii="Cambria" w:hAnsi="Cambria" w:cs="Cambria"/>
          <w:lang w:val="en"/>
        </w:rPr>
        <w:t xml:space="preserve">(e.g., inadequate food </w:t>
      </w:r>
      <w:r w:rsidR="0064767F">
        <w:rPr>
          <w:rFonts w:ascii="Cambria" w:hAnsi="Cambria" w:cs="Cambria"/>
          <w:lang w:val="en"/>
        </w:rPr>
        <w:lastRenderedPageBreak/>
        <w:t xml:space="preserve">intake as seen in CdLS) </w:t>
      </w:r>
      <w:r>
        <w:rPr>
          <w:rFonts w:ascii="Cambria" w:hAnsi="Cambria" w:cs="Cambria"/>
          <w:lang w:val="en"/>
        </w:rPr>
        <w:t>are not gauged in our analysis</w:t>
      </w:r>
      <w:r w:rsidR="006244AB">
        <w:rPr>
          <w:rFonts w:ascii="Cambria" w:hAnsi="Cambria" w:cs="Cambria"/>
          <w:lang w:val="en"/>
        </w:rPr>
        <w:t>, and</w:t>
      </w:r>
      <w:r w:rsidR="006A2B08">
        <w:rPr>
          <w:rFonts w:ascii="Cambria" w:hAnsi="Cambria" w:cs="Cambria"/>
          <w:lang w:val="en"/>
        </w:rPr>
        <w:t xml:space="preserve"> </w:t>
      </w:r>
      <w:r>
        <w:rPr>
          <w:rFonts w:ascii="Cambria" w:hAnsi="Cambria" w:cs="Cambria"/>
          <w:lang w:val="en"/>
        </w:rPr>
        <w:t xml:space="preserve">there may be more subtle, as-yet unexplored features of eating behaviors in the other four groups. It should also be noted that the sample sizes are relatively small (a common difficulty when researching rare syndrome groups), impeding detection of possible differences between the syndrome groups in their food-related </w:t>
      </w:r>
      <w:r>
        <w:rPr>
          <w:lang w:val="en"/>
        </w:rPr>
        <w:t xml:space="preserve">behaviors. Whilst different syndrome groups display intriguingly different profiles of potential difficulty across the domains of the FRPQ (see Figure </w:t>
      </w:r>
      <w:r w:rsidR="006A7B8F">
        <w:rPr>
          <w:lang w:val="en"/>
        </w:rPr>
        <w:t>2</w:t>
      </w:r>
      <w:r>
        <w:rPr>
          <w:lang w:val="en"/>
        </w:rPr>
        <w:t xml:space="preserve">), these require statistical verification and further exploration in future studies. </w:t>
      </w:r>
    </w:p>
    <w:p w:rsidR="00BD0108" w:rsidRDefault="00CC1E96" w:rsidP="00A91C35">
      <w:pPr>
        <w:widowControl w:val="0"/>
        <w:autoSpaceDE w:val="0"/>
        <w:autoSpaceDN w:val="0"/>
        <w:adjustRightInd w:val="0"/>
        <w:spacing w:line="480" w:lineRule="auto"/>
        <w:ind w:firstLine="720"/>
        <w:rPr>
          <w:rFonts w:ascii="Cambria" w:hAnsi="Cambria" w:cs="Cambria"/>
          <w:lang w:val="en"/>
        </w:rPr>
      </w:pPr>
      <w:r>
        <w:rPr>
          <w:lang w:val="en"/>
        </w:rPr>
        <w:t>The use of a questionnaire measure can</w:t>
      </w:r>
      <w:r w:rsidR="001243A0">
        <w:rPr>
          <w:lang w:val="en"/>
        </w:rPr>
        <w:t xml:space="preserve"> also</w:t>
      </w:r>
      <w:r>
        <w:rPr>
          <w:lang w:val="en"/>
        </w:rPr>
        <w:t xml:space="preserve"> introduce reporting biases, </w:t>
      </w:r>
      <w:r w:rsidR="00306AA3">
        <w:rPr>
          <w:lang w:val="en"/>
        </w:rPr>
        <w:t>and the varied</w:t>
      </w:r>
      <w:r w:rsidR="00AB4433">
        <w:rPr>
          <w:lang w:val="en"/>
        </w:rPr>
        <w:t xml:space="preserve"> levels of </w:t>
      </w:r>
      <w:r w:rsidR="00D07DC5">
        <w:rPr>
          <w:lang w:val="en"/>
        </w:rPr>
        <w:t xml:space="preserve">ability of participants </w:t>
      </w:r>
      <w:r w:rsidR="00455F38">
        <w:rPr>
          <w:lang w:val="en"/>
        </w:rPr>
        <w:t>contributes</w:t>
      </w:r>
      <w:r w:rsidR="005D1BDA">
        <w:rPr>
          <w:lang w:val="en"/>
        </w:rPr>
        <w:t xml:space="preserve"> to</w:t>
      </w:r>
      <w:r w:rsidR="00455F38">
        <w:rPr>
          <w:lang w:val="en"/>
        </w:rPr>
        <w:t xml:space="preserve"> potential </w:t>
      </w:r>
      <w:r w:rsidR="00F14668">
        <w:rPr>
          <w:lang w:val="en"/>
        </w:rPr>
        <w:t>variation</w:t>
      </w:r>
      <w:r w:rsidR="00455F38">
        <w:rPr>
          <w:lang w:val="en"/>
        </w:rPr>
        <w:t xml:space="preserve">s in the manner in which caregivers can assess </w:t>
      </w:r>
      <w:r w:rsidR="00AA1927">
        <w:rPr>
          <w:lang w:val="en"/>
        </w:rPr>
        <w:t>factors such as satiety</w:t>
      </w:r>
      <w:r w:rsidR="00FF69A9">
        <w:rPr>
          <w:lang w:val="en"/>
        </w:rPr>
        <w:t xml:space="preserve"> [although see Russell &amp; Oliver, 2003, for </w:t>
      </w:r>
      <w:r w:rsidR="00954680">
        <w:rPr>
          <w:lang w:val="en"/>
        </w:rPr>
        <w:t>analysis</w:t>
      </w:r>
      <w:r w:rsidR="00FF69A9">
        <w:rPr>
          <w:lang w:val="en"/>
        </w:rPr>
        <w:t xml:space="preserve"> of how the FRPQ can accommodate differing levels of ability]</w:t>
      </w:r>
      <w:r w:rsidR="003C4FAE">
        <w:rPr>
          <w:lang w:val="en"/>
        </w:rPr>
        <w:t>.</w:t>
      </w:r>
      <w:r w:rsidR="00A2725D">
        <w:rPr>
          <w:lang w:val="en"/>
        </w:rPr>
        <w:t xml:space="preserve"> </w:t>
      </w:r>
      <w:r w:rsidR="008504AB">
        <w:rPr>
          <w:lang w:val="en"/>
        </w:rPr>
        <w:t xml:space="preserve">These problems could be addressed in future studies by collection of more direct (e.g., </w:t>
      </w:r>
      <w:r w:rsidR="00C959A8">
        <w:rPr>
          <w:lang w:val="en"/>
        </w:rPr>
        <w:t>o</w:t>
      </w:r>
      <w:r w:rsidR="008504AB">
        <w:rPr>
          <w:lang w:val="en"/>
        </w:rPr>
        <w:t>bservational/experimental</w:t>
      </w:r>
      <w:r w:rsidR="007D262E">
        <w:rPr>
          <w:lang w:val="en"/>
        </w:rPr>
        <w:t xml:space="preserve">) </w:t>
      </w:r>
      <w:r w:rsidR="008504AB">
        <w:rPr>
          <w:lang w:val="en"/>
        </w:rPr>
        <w:t>data</w:t>
      </w:r>
      <w:r w:rsidR="007D262E">
        <w:rPr>
          <w:lang w:val="en"/>
        </w:rPr>
        <w:t>.</w:t>
      </w:r>
      <w:r w:rsidR="008504AB">
        <w:rPr>
          <w:lang w:val="en"/>
        </w:rPr>
        <w:t xml:space="preserve"> </w:t>
      </w:r>
      <w:r w:rsidR="00FA78C9">
        <w:rPr>
          <w:lang w:val="en"/>
        </w:rPr>
        <w:t>I</w:t>
      </w:r>
      <w:r w:rsidR="00BD0108">
        <w:rPr>
          <w:lang w:val="en"/>
        </w:rPr>
        <w:t xml:space="preserve">t should also be noted that participants were </w:t>
      </w:r>
      <w:r w:rsidR="00BD0108">
        <w:rPr>
          <w:rFonts w:ascii="Cambria" w:hAnsi="Cambria" w:cs="Cambria"/>
          <w:lang w:val="en"/>
        </w:rPr>
        <w:t>recruited vi</w:t>
      </w:r>
      <w:r w:rsidR="006A2B08">
        <w:rPr>
          <w:rFonts w:ascii="Cambria" w:hAnsi="Cambria" w:cs="Cambria"/>
          <w:lang w:val="en"/>
        </w:rPr>
        <w:t>a syndrome support groups. I</w:t>
      </w:r>
      <w:r w:rsidR="00BD0108">
        <w:rPr>
          <w:rFonts w:ascii="Cambria" w:hAnsi="Cambria" w:cs="Cambria"/>
          <w:lang w:val="en"/>
        </w:rPr>
        <w:t>t has been hypothesized that families caring for individuals showing challenging behaviors are more likely to join support groups [</w:t>
      </w:r>
      <w:r w:rsidR="00BD0108" w:rsidRPr="00436307">
        <w:rPr>
          <w:rFonts w:ascii="Cambria" w:hAnsi="Cambria" w:cs="Cambria"/>
          <w:noProof/>
          <w:lang w:val="en"/>
        </w:rPr>
        <w:t>Hyman, Oliver, &amp; Hall, 2002</w:t>
      </w:r>
      <w:r w:rsidR="00BD0108">
        <w:rPr>
          <w:rFonts w:ascii="Cambria" w:hAnsi="Cambria" w:cs="Cambria"/>
          <w:lang w:val="en"/>
        </w:rPr>
        <w:t>]</w:t>
      </w:r>
      <w:r w:rsidR="00435671">
        <w:rPr>
          <w:rFonts w:ascii="Cambria" w:hAnsi="Cambria" w:cs="Cambria"/>
          <w:lang w:val="en"/>
        </w:rPr>
        <w:t>, although</w:t>
      </w:r>
      <w:r w:rsidR="005575B6">
        <w:rPr>
          <w:rFonts w:ascii="Cambria" w:hAnsi="Cambria" w:cs="Cambria"/>
          <w:lang w:val="en"/>
        </w:rPr>
        <w:t xml:space="preserve"> i</w:t>
      </w:r>
      <w:r w:rsidR="00BD0108">
        <w:rPr>
          <w:rFonts w:ascii="Cambria" w:hAnsi="Cambria" w:cs="Cambria"/>
          <w:lang w:val="en"/>
        </w:rPr>
        <w:t xml:space="preserve">f this is the case, then the bias is comparable across groups and therefore comparisons may remain valid. </w:t>
      </w:r>
      <w:r w:rsidR="00FA78C9">
        <w:rPr>
          <w:rFonts w:ascii="Cambria" w:hAnsi="Cambria" w:cs="Cambria"/>
          <w:lang w:val="en"/>
        </w:rPr>
        <w:t xml:space="preserve">Finally, </w:t>
      </w:r>
      <w:r w:rsidR="000C5F23">
        <w:rPr>
          <w:rFonts w:ascii="Cambria" w:hAnsi="Cambria" w:cs="Cambria"/>
          <w:lang w:val="en"/>
        </w:rPr>
        <w:t>collection of individual</w:t>
      </w:r>
      <w:r w:rsidR="00B84FCB">
        <w:rPr>
          <w:rFonts w:ascii="Cambria" w:hAnsi="Cambria" w:cs="Cambria"/>
          <w:lang w:val="en"/>
        </w:rPr>
        <w:t>s’</w:t>
      </w:r>
      <w:r w:rsidR="000C5F23">
        <w:rPr>
          <w:rFonts w:ascii="Cambria" w:hAnsi="Cambria" w:cs="Cambria"/>
          <w:lang w:val="en"/>
        </w:rPr>
        <w:t xml:space="preserve"> genetic data within the syndrome groups is a crucial next step</w:t>
      </w:r>
      <w:r w:rsidR="003121F2">
        <w:rPr>
          <w:rFonts w:ascii="Cambria" w:hAnsi="Cambria" w:cs="Cambria"/>
          <w:lang w:val="en"/>
        </w:rPr>
        <w:t>,</w:t>
      </w:r>
      <w:r w:rsidR="000C5F23">
        <w:rPr>
          <w:rFonts w:ascii="Cambria" w:hAnsi="Cambria" w:cs="Cambria"/>
          <w:lang w:val="en"/>
        </w:rPr>
        <w:t xml:space="preserve"> to elucidate </w:t>
      </w:r>
      <w:r w:rsidR="00F77BCB">
        <w:rPr>
          <w:rFonts w:ascii="Cambria" w:hAnsi="Cambria" w:cs="Cambria"/>
          <w:lang w:val="en"/>
        </w:rPr>
        <w:t>the degree to which different genetic variants may be differently associated with problematic eating</w:t>
      </w:r>
      <w:r w:rsidR="001B4E5F">
        <w:rPr>
          <w:rFonts w:ascii="Cambria" w:hAnsi="Cambria" w:cs="Cambria"/>
          <w:lang w:val="en"/>
        </w:rPr>
        <w:t xml:space="preserve"> </w:t>
      </w:r>
      <w:r w:rsidR="003F6E56">
        <w:rPr>
          <w:rFonts w:ascii="Cambria" w:hAnsi="Cambria" w:cs="Cambria"/>
          <w:lang w:val="en"/>
        </w:rPr>
        <w:t>behavior</w:t>
      </w:r>
      <w:r w:rsidR="001B4E5F">
        <w:rPr>
          <w:rFonts w:ascii="Cambria" w:hAnsi="Cambria" w:cs="Cambria"/>
          <w:lang w:val="en"/>
        </w:rPr>
        <w:t>s</w:t>
      </w:r>
      <w:r w:rsidR="00F77BCB">
        <w:rPr>
          <w:rFonts w:ascii="Cambria" w:hAnsi="Cambria" w:cs="Cambria"/>
          <w:lang w:val="en"/>
        </w:rPr>
        <w:t>.</w:t>
      </w:r>
      <w:r w:rsidR="000C5F23">
        <w:rPr>
          <w:rFonts w:ascii="Cambria" w:hAnsi="Cambria" w:cs="Cambria"/>
          <w:lang w:val="en"/>
        </w:rPr>
        <w:t xml:space="preserve"> </w:t>
      </w:r>
      <w:r w:rsidR="00146D4C">
        <w:rPr>
          <w:rFonts w:ascii="Cambria" w:hAnsi="Cambria" w:cs="Cambria"/>
          <w:lang w:val="en"/>
        </w:rPr>
        <w:t xml:space="preserve"> Further assessments of eating behavior in</w:t>
      </w:r>
      <w:r w:rsidR="00BD44A6">
        <w:rPr>
          <w:rFonts w:ascii="Cambria" w:hAnsi="Cambria" w:cs="Cambria"/>
          <w:lang w:val="en"/>
        </w:rPr>
        <w:t xml:space="preserve"> AS and PWS in relation to</w:t>
      </w:r>
      <w:r w:rsidR="00146D4C">
        <w:rPr>
          <w:rFonts w:ascii="Cambria" w:hAnsi="Cambria" w:cs="Cambria"/>
          <w:lang w:val="en"/>
        </w:rPr>
        <w:t xml:space="preserve"> people with </w:t>
      </w:r>
      <w:r w:rsidR="00227C9A">
        <w:rPr>
          <w:rFonts w:ascii="Cambria" w:hAnsi="Cambria" w:cs="Cambria"/>
          <w:lang w:val="en"/>
        </w:rPr>
        <w:t>o</w:t>
      </w:r>
      <w:r w:rsidR="005377C9">
        <w:rPr>
          <w:rFonts w:ascii="Cambria" w:hAnsi="Cambria" w:cs="Cambria"/>
          <w:lang w:val="en"/>
        </w:rPr>
        <w:t>ther genetic diagnoses</w:t>
      </w:r>
      <w:r w:rsidR="00146D4C">
        <w:t xml:space="preserve"> </w:t>
      </w:r>
      <w:r w:rsidR="003A0DDC">
        <w:t xml:space="preserve">associated with </w:t>
      </w:r>
      <w:r w:rsidR="00132159">
        <w:t xml:space="preserve">hyperphagia and obesity </w:t>
      </w:r>
      <w:r w:rsidR="00381925">
        <w:t xml:space="preserve">(e.g., </w:t>
      </w:r>
      <w:r w:rsidR="00681DD2">
        <w:t>16p11.2 microdeletion</w:t>
      </w:r>
      <w:r w:rsidR="00F138E5">
        <w:t>s</w:t>
      </w:r>
      <w:r w:rsidR="00681DD2">
        <w:t xml:space="preserve"> [</w:t>
      </w:r>
      <w:r w:rsidR="00FB0ECA">
        <w:t xml:space="preserve">Bachmann-Gagescu et al., 2010; </w:t>
      </w:r>
      <w:r w:rsidR="00681DD2" w:rsidRPr="00681DD2">
        <w:rPr>
          <w:noProof/>
        </w:rPr>
        <w:t>Walters et al., 2010</w:t>
      </w:r>
      <w:r w:rsidR="00681DD2">
        <w:t xml:space="preserve">]) </w:t>
      </w:r>
      <w:r w:rsidR="00564BEF">
        <w:t xml:space="preserve">will also be important in determining </w:t>
      </w:r>
      <w:r w:rsidR="00A33A16">
        <w:t xml:space="preserve">the specific profiles of </w:t>
      </w:r>
      <w:r w:rsidR="003F6E56">
        <w:t>behavior</w:t>
      </w:r>
      <w:r w:rsidR="00A33A16">
        <w:t xml:space="preserve"> associated with specific genetic aberations.</w:t>
      </w:r>
      <w:r w:rsidR="00146D4C">
        <w:rPr>
          <w:rFonts w:ascii="Cambria" w:hAnsi="Cambria" w:cs="Cambria"/>
          <w:lang w:val="en"/>
        </w:rPr>
        <w:t xml:space="preserve"> </w:t>
      </w:r>
    </w:p>
    <w:p w:rsidR="006C3FCF" w:rsidRDefault="00BD0108" w:rsidP="001535B6">
      <w:pPr>
        <w:widowControl w:val="0"/>
        <w:autoSpaceDE w:val="0"/>
        <w:autoSpaceDN w:val="0"/>
        <w:adjustRightInd w:val="0"/>
        <w:spacing w:line="480" w:lineRule="auto"/>
        <w:ind w:firstLine="720"/>
        <w:rPr>
          <w:rFonts w:ascii="Cambria" w:hAnsi="Cambria" w:cs="Cambria"/>
          <w:lang w:val="en"/>
        </w:rPr>
      </w:pPr>
      <w:r>
        <w:rPr>
          <w:rFonts w:ascii="Cambria" w:hAnsi="Cambria" w:cs="Cambria"/>
          <w:lang w:val="en"/>
        </w:rPr>
        <w:t xml:space="preserve">In summary, this study confirms and extends our understanding of the presence of food-related difficulties in AS. At least some of these difficulties bear similarities to </w:t>
      </w:r>
      <w:r>
        <w:rPr>
          <w:rFonts w:ascii="Cambria" w:hAnsi="Cambria" w:cs="Cambria"/>
          <w:lang w:val="en"/>
        </w:rPr>
        <w:lastRenderedPageBreak/>
        <w:t xml:space="preserve">those found in PWS and in some areas may approach or even exceed them in extent. Further research addressing the physiological (e.g., hormonal), neurological and psychological underpinnings of food-related behavioral problems in AS is also now warranted. </w:t>
      </w:r>
      <w:r w:rsidR="00B973D5" w:rsidRPr="00B973D5">
        <w:rPr>
          <w:rFonts w:ascii="Cambria" w:hAnsi="Cambria" w:cs="Cambria"/>
          <w:lang w:val="en"/>
        </w:rPr>
        <w:t>Clinically, it may be that greater attention should be paid to disordered eating</w:t>
      </w:r>
      <w:r w:rsidR="007E2AEB">
        <w:rPr>
          <w:rFonts w:ascii="Cambria" w:hAnsi="Cambria" w:cs="Cambria"/>
          <w:lang w:val="en"/>
        </w:rPr>
        <w:t xml:space="preserve"> behaviors</w:t>
      </w:r>
      <w:r w:rsidR="00B973D5" w:rsidRPr="00B973D5">
        <w:rPr>
          <w:rFonts w:ascii="Cambria" w:hAnsi="Cambria" w:cs="Cambria"/>
          <w:lang w:val="en"/>
        </w:rPr>
        <w:t xml:space="preserve"> in AS, that techniques</w:t>
      </w:r>
      <w:r w:rsidR="000C6FE8">
        <w:rPr>
          <w:rFonts w:ascii="Cambria" w:hAnsi="Cambria" w:cs="Cambria"/>
          <w:lang w:val="en"/>
        </w:rPr>
        <w:t>,</w:t>
      </w:r>
      <w:r w:rsidR="00B973D5" w:rsidRPr="00B973D5">
        <w:rPr>
          <w:rFonts w:ascii="Cambria" w:hAnsi="Cambria" w:cs="Cambria"/>
          <w:lang w:val="en"/>
        </w:rPr>
        <w:t xml:space="preserve"> </w:t>
      </w:r>
      <w:r w:rsidR="000C6FE8">
        <w:rPr>
          <w:rFonts w:ascii="Cambria" w:hAnsi="Cambria" w:cs="Cambria"/>
          <w:lang w:val="en"/>
        </w:rPr>
        <w:t>including close control of the food environment [</w:t>
      </w:r>
      <w:r w:rsidR="0090186C">
        <w:rPr>
          <w:rFonts w:ascii="Cambria" w:hAnsi="Cambria" w:cs="Cambria"/>
          <w:lang w:val="en"/>
        </w:rPr>
        <w:t xml:space="preserve">e.g., </w:t>
      </w:r>
      <w:r w:rsidR="00284190">
        <w:rPr>
          <w:rFonts w:ascii="Cambria" w:hAnsi="Cambria" w:cs="Cambria"/>
          <w:lang w:val="en"/>
        </w:rPr>
        <w:t>Hoffman, Aultman</w:t>
      </w:r>
      <w:r w:rsidR="00284190" w:rsidRPr="00284190">
        <w:rPr>
          <w:rFonts w:ascii="Cambria" w:hAnsi="Cambria" w:cs="Cambria"/>
          <w:lang w:val="en"/>
        </w:rPr>
        <w:t>, &amp; Pipes</w:t>
      </w:r>
      <w:r w:rsidR="00284190">
        <w:rPr>
          <w:rFonts w:ascii="Cambria" w:hAnsi="Cambria" w:cs="Cambria"/>
          <w:lang w:val="en"/>
        </w:rPr>
        <w:t>, 1992</w:t>
      </w:r>
      <w:r w:rsidR="00B806AA">
        <w:rPr>
          <w:rFonts w:ascii="Cambria" w:hAnsi="Cambria" w:cs="Cambria"/>
          <w:lang w:val="en"/>
        </w:rPr>
        <w:t>; Goldberg et al., 2002</w:t>
      </w:r>
      <w:r w:rsidR="000C6FE8">
        <w:rPr>
          <w:rFonts w:ascii="Cambria" w:hAnsi="Cambria" w:cs="Cambria"/>
          <w:lang w:val="en"/>
        </w:rPr>
        <w:t xml:space="preserve">], </w:t>
      </w:r>
      <w:r w:rsidR="00B973D5" w:rsidRPr="00B973D5">
        <w:rPr>
          <w:rFonts w:ascii="Cambria" w:hAnsi="Cambria" w:cs="Cambria"/>
          <w:lang w:val="en"/>
        </w:rPr>
        <w:t xml:space="preserve">thought to help in PWS could be considered for some people with AS, and that future studies should assess the efficacy of treatments for problematic </w:t>
      </w:r>
      <w:r w:rsidR="00BE633A">
        <w:rPr>
          <w:rFonts w:ascii="Cambria" w:hAnsi="Cambria" w:cs="Cambria"/>
          <w:lang w:val="en"/>
        </w:rPr>
        <w:t xml:space="preserve">food-related behaviors </w:t>
      </w:r>
      <w:r w:rsidR="00B973D5" w:rsidRPr="00B973D5">
        <w:rPr>
          <w:rFonts w:ascii="Cambria" w:hAnsi="Cambria" w:cs="Cambria"/>
          <w:lang w:val="en"/>
        </w:rPr>
        <w:t>sp</w:t>
      </w:r>
      <w:r w:rsidR="006C40D6">
        <w:rPr>
          <w:rFonts w:ascii="Cambria" w:hAnsi="Cambria" w:cs="Cambria"/>
          <w:lang w:val="en"/>
        </w:rPr>
        <w:t>ecifically associated with AS.</w:t>
      </w:r>
      <w:r w:rsidR="00247DB9">
        <w:rPr>
          <w:rFonts w:ascii="Cambria" w:hAnsi="Cambria" w:cs="Cambria"/>
          <w:lang w:val="en"/>
        </w:rPr>
        <w:t xml:space="preserve"> </w:t>
      </w:r>
      <w:r>
        <w:rPr>
          <w:rFonts w:ascii="Cambria" w:hAnsi="Cambria" w:cs="Cambria"/>
          <w:lang w:val="en"/>
        </w:rPr>
        <w:t>Given the</w:t>
      </w:r>
      <w:r w:rsidR="00F81DE2">
        <w:rPr>
          <w:rFonts w:ascii="Cambria" w:hAnsi="Cambria" w:cs="Cambria"/>
          <w:lang w:val="en"/>
        </w:rPr>
        <w:t xml:space="preserve"> postulated</w:t>
      </w:r>
      <w:r>
        <w:rPr>
          <w:rFonts w:ascii="Cambria" w:hAnsi="Cambria" w:cs="Cambria"/>
          <w:lang w:val="en"/>
        </w:rPr>
        <w:t xml:space="preserve"> genetic relationships between AS and PWS, the common and distinct mechanisms underlying their associated food-related problems should also be explored. </w:t>
      </w:r>
    </w:p>
    <w:p w:rsidR="00BD0108" w:rsidRDefault="00BD0108" w:rsidP="00BD0108">
      <w:pPr>
        <w:widowControl w:val="0"/>
        <w:autoSpaceDE w:val="0"/>
        <w:autoSpaceDN w:val="0"/>
        <w:adjustRightInd w:val="0"/>
        <w:spacing w:line="480" w:lineRule="auto"/>
        <w:jc w:val="center"/>
        <w:rPr>
          <w:rFonts w:ascii="Cambria" w:hAnsi="Cambria" w:cs="Cambria"/>
          <w:b/>
          <w:lang w:val="en"/>
        </w:rPr>
      </w:pPr>
      <w:r>
        <w:rPr>
          <w:rFonts w:ascii="Cambria" w:hAnsi="Cambria" w:cs="Cambria"/>
          <w:lang w:val="en"/>
        </w:rPr>
        <w:br w:type="page"/>
      </w:r>
      <w:r w:rsidR="00565020">
        <w:rPr>
          <w:rFonts w:ascii="Cambria" w:hAnsi="Cambria" w:cs="Cambria"/>
          <w:b/>
          <w:lang w:val="en"/>
        </w:rPr>
        <w:lastRenderedPageBreak/>
        <w:t>REFERENCES</w:t>
      </w:r>
    </w:p>
    <w:p w:rsidR="00BD0108" w:rsidRDefault="00BD0108" w:rsidP="00BD0108">
      <w:pPr>
        <w:pStyle w:val="NormalWeb"/>
        <w:spacing w:line="480" w:lineRule="auto"/>
        <w:ind w:left="480" w:hanging="480"/>
        <w:rPr>
          <w:rFonts w:ascii="Cambria" w:hAnsi="Cambria"/>
        </w:rPr>
      </w:pPr>
      <w:r w:rsidRPr="00E00A7B">
        <w:rPr>
          <w:rFonts w:ascii="Cambria" w:hAnsi="Cambria"/>
          <w:noProof/>
        </w:rPr>
        <w:t xml:space="preserve">Arron K, Oliver C, Moss J, Berg K, &amp; Burbidge C. 2011. The prevalence and phenomenology of self-injurious and aggressive </w:t>
      </w:r>
      <w:r w:rsidR="003F6E56">
        <w:rPr>
          <w:rFonts w:ascii="Cambria" w:hAnsi="Cambria"/>
          <w:noProof/>
        </w:rPr>
        <w:t>behavior</w:t>
      </w:r>
      <w:r w:rsidRPr="00E00A7B">
        <w:rPr>
          <w:rFonts w:ascii="Cambria" w:hAnsi="Cambria"/>
          <w:noProof/>
        </w:rPr>
        <w:t xml:space="preserve"> in genetic syndromes</w:t>
      </w:r>
      <w:r>
        <w:rPr>
          <w:rFonts w:ascii="Cambria" w:hAnsi="Cambria"/>
        </w:rPr>
        <w:t>.</w:t>
      </w:r>
      <w:r w:rsidRPr="00E00A7B">
        <w:rPr>
          <w:rFonts w:ascii="Cambria" w:hAnsi="Cambria"/>
        </w:rPr>
        <w:t xml:space="preserve"> Journal of Intellectual Disability Research 55: 109–120. </w:t>
      </w:r>
    </w:p>
    <w:p w:rsidR="00277B6B" w:rsidRPr="00E00A7B" w:rsidRDefault="00277B6B" w:rsidP="00277B6B">
      <w:pPr>
        <w:pStyle w:val="NormalWeb"/>
        <w:spacing w:line="480" w:lineRule="auto"/>
        <w:ind w:left="480" w:hanging="480"/>
        <w:rPr>
          <w:rFonts w:ascii="Cambria" w:hAnsi="Cambria"/>
        </w:rPr>
      </w:pPr>
      <w:r>
        <w:rPr>
          <w:rFonts w:ascii="Cambria" w:hAnsi="Cambria"/>
        </w:rPr>
        <w:t>Bachmann-Gagescu R, Mefford H, Cowan</w:t>
      </w:r>
      <w:r w:rsidRPr="00277B6B">
        <w:rPr>
          <w:rFonts w:ascii="Cambria" w:hAnsi="Cambria"/>
        </w:rPr>
        <w:t xml:space="preserve"> </w:t>
      </w:r>
      <w:r>
        <w:rPr>
          <w:rFonts w:ascii="Cambria" w:hAnsi="Cambria"/>
        </w:rPr>
        <w:t>C, Glew G, Hing A, Wallace S, Bader P</w:t>
      </w:r>
      <w:r w:rsidRPr="00277B6B">
        <w:rPr>
          <w:rFonts w:ascii="Cambria" w:hAnsi="Cambria"/>
        </w:rPr>
        <w:t xml:space="preserve">, </w:t>
      </w:r>
      <w:r>
        <w:rPr>
          <w:rFonts w:ascii="Cambria" w:hAnsi="Cambria"/>
        </w:rPr>
        <w:t xml:space="preserve">Hamati A, Reitnauer P, </w:t>
      </w:r>
      <w:r w:rsidRPr="00277B6B">
        <w:rPr>
          <w:rFonts w:ascii="Cambria" w:hAnsi="Cambria"/>
        </w:rPr>
        <w:t>Smith R</w:t>
      </w:r>
      <w:r>
        <w:rPr>
          <w:rFonts w:ascii="Cambria" w:hAnsi="Cambria"/>
        </w:rPr>
        <w:t>, Stockton D, Muhle H, Helbig I, Eichler E, Ballif B, Rosenfeld J</w:t>
      </w:r>
      <w:r w:rsidR="000B5296">
        <w:rPr>
          <w:rFonts w:ascii="Cambria" w:hAnsi="Cambria"/>
        </w:rPr>
        <w:t>, Tsuchiya K.</w:t>
      </w:r>
      <w:r w:rsidRPr="00277B6B">
        <w:rPr>
          <w:rFonts w:ascii="Cambria" w:hAnsi="Cambria"/>
        </w:rPr>
        <w:t xml:space="preserve"> </w:t>
      </w:r>
      <w:r w:rsidR="000B5296">
        <w:rPr>
          <w:rFonts w:ascii="Cambria" w:hAnsi="Cambria"/>
        </w:rPr>
        <w:t>2010</w:t>
      </w:r>
      <w:r w:rsidRPr="00277B6B">
        <w:rPr>
          <w:rFonts w:ascii="Cambria" w:hAnsi="Cambria"/>
        </w:rPr>
        <w:t xml:space="preserve">. Recurrent 200-kb deletions of 16p11.2 that include the SH2B1 gene are associated with developmental </w:t>
      </w:r>
      <w:r w:rsidR="00FC2702">
        <w:rPr>
          <w:rFonts w:ascii="Cambria" w:hAnsi="Cambria"/>
        </w:rPr>
        <w:t>delay and obesity. Genetics in Medicine : Official J</w:t>
      </w:r>
      <w:r w:rsidRPr="00277B6B">
        <w:rPr>
          <w:rFonts w:ascii="Cambria" w:hAnsi="Cambria"/>
        </w:rPr>
        <w:t>ournal of the American College of</w:t>
      </w:r>
      <w:r w:rsidR="006233AF">
        <w:rPr>
          <w:rFonts w:ascii="Cambria" w:hAnsi="Cambria"/>
        </w:rPr>
        <w:t xml:space="preserve"> Medical Genetics 12(10):</w:t>
      </w:r>
      <w:r w:rsidRPr="00277B6B">
        <w:rPr>
          <w:rFonts w:ascii="Cambria" w:hAnsi="Cambria"/>
        </w:rPr>
        <w:t xml:space="preserve"> 641–647.</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Bailey DB, Skinner D, &amp; Sparkman KL. 2003</w:t>
      </w:r>
      <w:r w:rsidRPr="00436307">
        <w:rPr>
          <w:rFonts w:ascii="Cambria" w:hAnsi="Cambria"/>
          <w:noProof/>
        </w:rPr>
        <w:t xml:space="preserve">. Discovering Fragile X Syndrome: Family Experiences and Perceptions. </w:t>
      </w:r>
      <w:r w:rsidRPr="0009366E">
        <w:rPr>
          <w:rFonts w:ascii="Cambria" w:hAnsi="Cambria"/>
          <w:iCs/>
          <w:noProof/>
        </w:rPr>
        <w:t>Pediatrics</w:t>
      </w:r>
      <w:r w:rsidRPr="00436307">
        <w:rPr>
          <w:rFonts w:ascii="Cambria" w:hAnsi="Cambria"/>
          <w:noProof/>
        </w:rPr>
        <w:t xml:space="preserve"> </w:t>
      </w:r>
      <w:r w:rsidRPr="0009366E">
        <w:rPr>
          <w:rFonts w:ascii="Cambria" w:hAnsi="Cambria"/>
          <w:iCs/>
          <w:noProof/>
        </w:rPr>
        <w:t>111</w:t>
      </w:r>
      <w:r>
        <w:rPr>
          <w:rFonts w:ascii="Cambria" w:hAnsi="Cambria"/>
          <w:noProof/>
        </w:rPr>
        <w:t>(2):</w:t>
      </w:r>
      <w:r w:rsidRPr="00436307">
        <w:rPr>
          <w:rFonts w:ascii="Cambria" w:hAnsi="Cambria"/>
          <w:noProof/>
        </w:rPr>
        <w:t xml:space="preserve"> 407–416.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Berry RJ, Leitner RP, Clarke AR &amp; Einfeld SL. 2005</w:t>
      </w:r>
      <w:r w:rsidRPr="00436307">
        <w:rPr>
          <w:rFonts w:ascii="Cambria" w:hAnsi="Cambria"/>
          <w:noProof/>
        </w:rPr>
        <w:t xml:space="preserve">. Behavioral aspects of Angelman syndrome: a case control study. </w:t>
      </w:r>
      <w:r w:rsidRPr="008D3139">
        <w:rPr>
          <w:rFonts w:ascii="Cambria" w:hAnsi="Cambria"/>
          <w:iCs/>
          <w:noProof/>
        </w:rPr>
        <w:t xml:space="preserve">American </w:t>
      </w:r>
      <w:r>
        <w:rPr>
          <w:rFonts w:ascii="Cambria" w:hAnsi="Cambria"/>
          <w:iCs/>
          <w:noProof/>
        </w:rPr>
        <w:t>Journal of Medical Genetics</w:t>
      </w:r>
      <w:r w:rsidRPr="008D3139">
        <w:rPr>
          <w:rFonts w:ascii="Cambria" w:hAnsi="Cambria"/>
          <w:iCs/>
          <w:noProof/>
        </w:rPr>
        <w:t xml:space="preserve"> Part A</w:t>
      </w:r>
      <w:r w:rsidRPr="008D3139">
        <w:rPr>
          <w:rFonts w:ascii="Cambria" w:hAnsi="Cambria"/>
          <w:noProof/>
        </w:rPr>
        <w:t xml:space="preserve"> </w:t>
      </w:r>
      <w:r>
        <w:rPr>
          <w:rFonts w:ascii="Cambria" w:hAnsi="Cambria"/>
          <w:iCs/>
          <w:noProof/>
        </w:rPr>
        <w:t>132</w:t>
      </w:r>
      <w:r>
        <w:rPr>
          <w:rFonts w:ascii="Cambria" w:hAnsi="Cambria"/>
          <w:noProof/>
        </w:rPr>
        <w:t>(1):</w:t>
      </w:r>
      <w:r w:rsidRPr="00436307">
        <w:rPr>
          <w:rFonts w:ascii="Cambria" w:hAnsi="Cambria"/>
          <w:noProof/>
        </w:rPr>
        <w:t xml:space="preserve"> 8–12.</w:t>
      </w:r>
    </w:p>
    <w:p w:rsidR="00BD0108" w:rsidRDefault="00BD0108" w:rsidP="00BD0108">
      <w:pPr>
        <w:pStyle w:val="NormalWeb"/>
        <w:spacing w:line="480" w:lineRule="auto"/>
        <w:ind w:left="480" w:hanging="480"/>
        <w:rPr>
          <w:rFonts w:ascii="Cambria" w:hAnsi="Cambria"/>
          <w:noProof/>
        </w:rPr>
      </w:pPr>
      <w:r>
        <w:rPr>
          <w:rFonts w:ascii="Cambria" w:hAnsi="Cambria"/>
          <w:noProof/>
        </w:rPr>
        <w:t>Burbidge C, Oliver C, Moss J, Arron K, Berg K, Furniss F, Hill L, Trussler K &amp; Woodcock K.</w:t>
      </w:r>
      <w:r w:rsidRPr="00436307">
        <w:rPr>
          <w:rFonts w:ascii="Cambria" w:hAnsi="Cambria"/>
          <w:noProof/>
        </w:rPr>
        <w:t xml:space="preserve"> </w:t>
      </w:r>
      <w:r>
        <w:rPr>
          <w:rFonts w:ascii="Cambria" w:hAnsi="Cambria"/>
          <w:noProof/>
        </w:rPr>
        <w:t>2010</w:t>
      </w:r>
      <w:r w:rsidRPr="00436307">
        <w:rPr>
          <w:rFonts w:ascii="Cambria" w:hAnsi="Cambria"/>
          <w:noProof/>
        </w:rPr>
        <w:t xml:space="preserve">. The association between repetitive </w:t>
      </w:r>
      <w:r w:rsidR="003F6E56">
        <w:rPr>
          <w:rFonts w:ascii="Cambria" w:hAnsi="Cambria"/>
          <w:noProof/>
        </w:rPr>
        <w:t>behavior</w:t>
      </w:r>
      <w:r w:rsidRPr="00436307">
        <w:rPr>
          <w:rFonts w:ascii="Cambria" w:hAnsi="Cambria"/>
          <w:noProof/>
        </w:rPr>
        <w:t xml:space="preserve">s, impulsivity and hyperactivity in people with intellectual disability. </w:t>
      </w:r>
      <w:r>
        <w:rPr>
          <w:rFonts w:ascii="Cambria" w:hAnsi="Cambria"/>
          <w:iCs/>
          <w:noProof/>
        </w:rPr>
        <w:t xml:space="preserve">Journal of Intellectual Disability Research </w:t>
      </w:r>
      <w:r w:rsidRPr="00D92D13">
        <w:rPr>
          <w:rFonts w:ascii="Cambria" w:hAnsi="Cambria"/>
          <w:iCs/>
          <w:noProof/>
        </w:rPr>
        <w:t>54</w:t>
      </w:r>
      <w:r>
        <w:rPr>
          <w:rFonts w:ascii="Cambria" w:hAnsi="Cambria"/>
          <w:noProof/>
        </w:rPr>
        <w:t>(12)</w:t>
      </w:r>
      <w:r w:rsidRPr="00436307">
        <w:rPr>
          <w:rFonts w:ascii="Cambria" w:hAnsi="Cambria"/>
          <w:noProof/>
        </w:rPr>
        <w:t xml:space="preserve"> 1078–92.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 xml:space="preserve">Cassidy SB, Dykens E &amp; Williams C. </w:t>
      </w:r>
      <w:r w:rsidRPr="00436307">
        <w:rPr>
          <w:rFonts w:ascii="Cambria" w:hAnsi="Cambria"/>
          <w:noProof/>
        </w:rPr>
        <w:t xml:space="preserve">2000. Prader-Willi and Angelman syndromes: sister imprinted disorders. </w:t>
      </w:r>
      <w:r>
        <w:rPr>
          <w:rFonts w:ascii="Cambria" w:hAnsi="Cambria"/>
          <w:iCs/>
          <w:noProof/>
        </w:rPr>
        <w:t>American Journal of M</w:t>
      </w:r>
      <w:r w:rsidRPr="00D06A03">
        <w:rPr>
          <w:rFonts w:ascii="Cambria" w:hAnsi="Cambria"/>
          <w:iCs/>
          <w:noProof/>
        </w:rPr>
        <w:t>ed</w:t>
      </w:r>
      <w:r>
        <w:rPr>
          <w:rFonts w:ascii="Cambria" w:hAnsi="Cambria"/>
          <w:iCs/>
          <w:noProof/>
        </w:rPr>
        <w:t>ical G</w:t>
      </w:r>
      <w:r w:rsidRPr="00D06A03">
        <w:rPr>
          <w:rFonts w:ascii="Cambria" w:hAnsi="Cambria"/>
          <w:iCs/>
          <w:noProof/>
        </w:rPr>
        <w:t>enetics</w:t>
      </w:r>
      <w:r w:rsidRPr="00D06A03">
        <w:rPr>
          <w:rFonts w:ascii="Cambria" w:hAnsi="Cambria"/>
          <w:noProof/>
        </w:rPr>
        <w:t xml:space="preserve"> </w:t>
      </w:r>
      <w:r w:rsidRPr="00D06A03">
        <w:rPr>
          <w:rFonts w:ascii="Cambria" w:hAnsi="Cambria"/>
          <w:iCs/>
          <w:noProof/>
        </w:rPr>
        <w:t>97</w:t>
      </w:r>
      <w:r>
        <w:rPr>
          <w:rFonts w:ascii="Cambria" w:hAnsi="Cambria"/>
          <w:noProof/>
        </w:rPr>
        <w:t>(2)</w:t>
      </w:r>
      <w:r w:rsidRPr="00436307">
        <w:rPr>
          <w:rFonts w:ascii="Cambria" w:hAnsi="Cambria"/>
          <w:noProof/>
        </w:rPr>
        <w:t xml:space="preserve"> 136–46.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lastRenderedPageBreak/>
        <w:t>Cates M, Billmire DF, Bull MJ</w:t>
      </w:r>
      <w:r w:rsidRPr="00436307">
        <w:rPr>
          <w:rFonts w:ascii="Cambria" w:hAnsi="Cambria"/>
          <w:noProof/>
        </w:rPr>
        <w:t xml:space="preserve"> &amp;</w:t>
      </w:r>
      <w:r>
        <w:rPr>
          <w:rFonts w:ascii="Cambria" w:hAnsi="Cambria"/>
          <w:noProof/>
        </w:rPr>
        <w:t xml:space="preserve"> Grosfeld JL. 1989</w:t>
      </w:r>
      <w:r w:rsidRPr="00436307">
        <w:rPr>
          <w:rFonts w:ascii="Cambria" w:hAnsi="Cambria"/>
          <w:noProof/>
        </w:rPr>
        <w:t xml:space="preserve">. Gastroesophageal dysfunction in Cornelia de Lange syndrome. </w:t>
      </w:r>
      <w:r w:rsidRPr="00E63853">
        <w:rPr>
          <w:rFonts w:ascii="Cambria" w:hAnsi="Cambria"/>
          <w:iCs/>
          <w:noProof/>
        </w:rPr>
        <w:t>Journal of Pediatric Surgery</w:t>
      </w:r>
      <w:r>
        <w:rPr>
          <w:rFonts w:ascii="Cambria" w:hAnsi="Cambria"/>
          <w:noProof/>
        </w:rPr>
        <w:t xml:space="preserve">  24(3): 248–50.</w:t>
      </w:r>
    </w:p>
    <w:p w:rsidR="00BD0108" w:rsidRDefault="00BD0108" w:rsidP="00BD0108">
      <w:pPr>
        <w:pStyle w:val="NormalWeb"/>
        <w:spacing w:line="480" w:lineRule="auto"/>
        <w:ind w:left="480" w:hanging="480"/>
        <w:rPr>
          <w:rFonts w:ascii="Cambria" w:hAnsi="Cambria"/>
          <w:noProof/>
        </w:rPr>
      </w:pPr>
      <w:r>
        <w:rPr>
          <w:rFonts w:ascii="Cambria" w:hAnsi="Cambria"/>
          <w:noProof/>
        </w:rPr>
        <w:t>Clayton-Smith J. 1993</w:t>
      </w:r>
      <w:r w:rsidRPr="00436307">
        <w:rPr>
          <w:rFonts w:ascii="Cambria" w:hAnsi="Cambria"/>
          <w:noProof/>
        </w:rPr>
        <w:t xml:space="preserve">. Clinical research on Angelman syndrome in the United Kingdom: observations on 82 affected individuals. </w:t>
      </w:r>
      <w:r w:rsidRPr="00623A83">
        <w:rPr>
          <w:rFonts w:ascii="Cambria" w:hAnsi="Cambria"/>
          <w:iCs/>
          <w:noProof/>
        </w:rPr>
        <w:t>American Journal of Medical Genetics</w:t>
      </w:r>
      <w:r w:rsidRPr="00623A83">
        <w:rPr>
          <w:rFonts w:ascii="Cambria" w:hAnsi="Cambria"/>
          <w:noProof/>
        </w:rPr>
        <w:t xml:space="preserve"> </w:t>
      </w:r>
      <w:r w:rsidRPr="00623A83">
        <w:rPr>
          <w:rFonts w:ascii="Cambria" w:hAnsi="Cambria"/>
          <w:iCs/>
          <w:noProof/>
        </w:rPr>
        <w:t>46</w:t>
      </w:r>
      <w:r>
        <w:rPr>
          <w:rFonts w:ascii="Cambria" w:hAnsi="Cambria"/>
          <w:noProof/>
        </w:rPr>
        <w:t>(1):</w:t>
      </w:r>
      <w:r w:rsidRPr="00436307">
        <w:rPr>
          <w:rFonts w:ascii="Cambria" w:hAnsi="Cambria"/>
          <w:noProof/>
        </w:rPr>
        <w:t xml:space="preserve"> 12–15. </w:t>
      </w:r>
    </w:p>
    <w:p w:rsidR="00BD0108" w:rsidRDefault="00BD0108" w:rsidP="00BD0108">
      <w:pPr>
        <w:pStyle w:val="NormalWeb"/>
        <w:spacing w:line="480" w:lineRule="auto"/>
        <w:ind w:left="480" w:hanging="480"/>
        <w:rPr>
          <w:rFonts w:ascii="Cambria" w:hAnsi="Cambria"/>
          <w:noProof/>
        </w:rPr>
      </w:pPr>
      <w:r>
        <w:rPr>
          <w:rFonts w:ascii="Cambria" w:hAnsi="Cambria"/>
          <w:noProof/>
        </w:rPr>
        <w:t>Clayton-Smith J &amp; Laan L. 2003</w:t>
      </w:r>
      <w:r w:rsidRPr="00436307">
        <w:rPr>
          <w:rFonts w:ascii="Cambria" w:hAnsi="Cambria"/>
          <w:noProof/>
        </w:rPr>
        <w:t xml:space="preserve">. Angelman syndrome: a review of the clinical and genetic aspects. </w:t>
      </w:r>
      <w:r w:rsidRPr="00D06E37">
        <w:rPr>
          <w:rFonts w:ascii="Cambria" w:hAnsi="Cambria"/>
          <w:iCs/>
          <w:noProof/>
        </w:rPr>
        <w:t>Journal of Medical Genetics</w:t>
      </w:r>
      <w:r w:rsidRPr="00D06E37">
        <w:rPr>
          <w:rFonts w:ascii="Cambria" w:hAnsi="Cambria"/>
          <w:noProof/>
        </w:rPr>
        <w:t xml:space="preserve"> </w:t>
      </w:r>
      <w:r w:rsidRPr="00D06E37">
        <w:rPr>
          <w:rFonts w:ascii="Cambria" w:hAnsi="Cambria"/>
          <w:iCs/>
          <w:noProof/>
        </w:rPr>
        <w:t>40</w:t>
      </w:r>
      <w:r>
        <w:rPr>
          <w:rFonts w:ascii="Cambria" w:hAnsi="Cambria"/>
          <w:noProof/>
        </w:rPr>
        <w:t>(2):</w:t>
      </w:r>
      <w:r w:rsidRPr="00436307">
        <w:rPr>
          <w:rFonts w:ascii="Cambria" w:hAnsi="Cambria"/>
          <w:noProof/>
        </w:rPr>
        <w:t xml:space="preserve"> 87–95.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D’Angelo CS, Da Paz JA, Kim CA, Bertola DR, Castro CIE, Varela MC &amp; Koiffmann CP. 2006</w:t>
      </w:r>
      <w:r w:rsidRPr="00436307">
        <w:rPr>
          <w:rFonts w:ascii="Cambria" w:hAnsi="Cambria"/>
          <w:noProof/>
        </w:rPr>
        <w:t xml:space="preserve">. Prader-Willi-like phenotype: investigation of 1p36 deletion in 41 patients with delayed psychomotor development, hypotonia, obesity and/or hyperphagia, learning disabilities and behavioral problems. </w:t>
      </w:r>
      <w:r w:rsidRPr="00A0247B">
        <w:rPr>
          <w:rFonts w:ascii="Cambria" w:hAnsi="Cambria"/>
          <w:iCs/>
          <w:noProof/>
        </w:rPr>
        <w:t>Europea</w:t>
      </w:r>
      <w:r>
        <w:rPr>
          <w:rFonts w:ascii="Cambria" w:hAnsi="Cambria"/>
          <w:iCs/>
          <w:noProof/>
        </w:rPr>
        <w:t>n Journal of Medical G</w:t>
      </w:r>
      <w:r w:rsidRPr="00A0247B">
        <w:rPr>
          <w:rFonts w:ascii="Cambria" w:hAnsi="Cambria"/>
          <w:iCs/>
          <w:noProof/>
        </w:rPr>
        <w:t>enetics</w:t>
      </w:r>
      <w:r w:rsidRPr="00A0247B">
        <w:rPr>
          <w:rFonts w:ascii="Cambria" w:hAnsi="Cambria"/>
          <w:noProof/>
        </w:rPr>
        <w:t xml:space="preserve"> </w:t>
      </w:r>
      <w:r w:rsidRPr="00A0247B">
        <w:rPr>
          <w:rFonts w:ascii="Cambria" w:hAnsi="Cambria"/>
          <w:iCs/>
          <w:noProof/>
        </w:rPr>
        <w:t>49</w:t>
      </w:r>
      <w:r>
        <w:rPr>
          <w:rFonts w:ascii="Cambria" w:hAnsi="Cambria"/>
          <w:noProof/>
        </w:rPr>
        <w:t>(6):</w:t>
      </w:r>
      <w:r w:rsidRPr="00436307">
        <w:rPr>
          <w:rFonts w:ascii="Cambria" w:hAnsi="Cambria"/>
          <w:noProof/>
        </w:rPr>
        <w:t xml:space="preserve"> 451–60. </w:t>
      </w:r>
    </w:p>
    <w:p w:rsidR="00BD0108" w:rsidRPr="00436307" w:rsidRDefault="00BD0108" w:rsidP="00BD0108">
      <w:pPr>
        <w:pStyle w:val="NormalWeb"/>
        <w:spacing w:line="480" w:lineRule="auto"/>
        <w:ind w:left="480" w:hanging="480"/>
        <w:rPr>
          <w:rFonts w:ascii="Cambria" w:hAnsi="Cambria"/>
          <w:noProof/>
        </w:rPr>
      </w:pPr>
      <w:r w:rsidRPr="00436307">
        <w:rPr>
          <w:rFonts w:ascii="Cambria" w:hAnsi="Cambria"/>
          <w:noProof/>
        </w:rPr>
        <w:t>D’Angelo</w:t>
      </w:r>
      <w:r>
        <w:rPr>
          <w:rFonts w:ascii="Cambria" w:hAnsi="Cambria"/>
          <w:noProof/>
        </w:rPr>
        <w:t xml:space="preserve"> CS, Gajecka M, Kim CA, Gentles AJ, Glotzbach CD, Shaffer LG &amp; Koiffmann C</w:t>
      </w:r>
      <w:r w:rsidRPr="00436307">
        <w:rPr>
          <w:rFonts w:ascii="Cambria" w:hAnsi="Cambria"/>
          <w:noProof/>
        </w:rPr>
        <w:t xml:space="preserve">P. 2009. Further delineation of nonhomologous-based recombination and evidence for subtelomeric segmental duplications in 1p36 rearrangements. </w:t>
      </w:r>
      <w:r>
        <w:rPr>
          <w:rFonts w:ascii="Cambria" w:hAnsi="Cambria"/>
          <w:iCs/>
          <w:noProof/>
        </w:rPr>
        <w:t>Human G</w:t>
      </w:r>
      <w:r w:rsidRPr="00DD7BE2">
        <w:rPr>
          <w:rFonts w:ascii="Cambria" w:hAnsi="Cambria"/>
          <w:iCs/>
          <w:noProof/>
        </w:rPr>
        <w:t>enetics</w:t>
      </w:r>
      <w:r w:rsidRPr="00DD7BE2">
        <w:rPr>
          <w:rFonts w:ascii="Cambria" w:hAnsi="Cambria"/>
          <w:noProof/>
        </w:rPr>
        <w:t xml:space="preserve"> </w:t>
      </w:r>
      <w:r w:rsidRPr="00DD7BE2">
        <w:rPr>
          <w:rFonts w:ascii="Cambria" w:hAnsi="Cambria"/>
          <w:iCs/>
          <w:noProof/>
        </w:rPr>
        <w:t>125</w:t>
      </w:r>
      <w:r>
        <w:rPr>
          <w:rFonts w:ascii="Cambria" w:hAnsi="Cambria"/>
          <w:noProof/>
        </w:rPr>
        <w:t>(5-6):</w:t>
      </w:r>
      <w:r w:rsidRPr="00436307">
        <w:rPr>
          <w:rFonts w:ascii="Cambria" w:hAnsi="Cambria"/>
          <w:noProof/>
        </w:rPr>
        <w:t xml:space="preserve"> 551–63. </w:t>
      </w:r>
    </w:p>
    <w:p w:rsidR="00BD0108" w:rsidRPr="00E654DB" w:rsidRDefault="00BD0108" w:rsidP="00BD0108">
      <w:pPr>
        <w:pStyle w:val="NormalWeb"/>
        <w:spacing w:line="480" w:lineRule="auto"/>
        <w:ind w:left="480" w:hanging="480"/>
        <w:rPr>
          <w:rFonts w:ascii="Cambria" w:hAnsi="Cambria"/>
          <w:i/>
          <w:iCs/>
          <w:noProof/>
        </w:rPr>
      </w:pPr>
      <w:r>
        <w:rPr>
          <w:rFonts w:ascii="Cambria" w:hAnsi="Cambria"/>
          <w:noProof/>
        </w:rPr>
        <w:t>De Vries BB, Fryns JP, Butler MG, Canziani F, Wesby-van-Swaay E, Van-Hemel JO, Oostra BA</w:t>
      </w:r>
      <w:r w:rsidR="004B6281">
        <w:rPr>
          <w:rFonts w:ascii="Cambria" w:hAnsi="Cambria"/>
          <w:noProof/>
        </w:rPr>
        <w:t xml:space="preserve">, Halley DJJ &amp; </w:t>
      </w:r>
      <w:r w:rsidR="004B6281" w:rsidRPr="004B6281">
        <w:rPr>
          <w:rFonts w:asciiTheme="majorHAnsi" w:eastAsiaTheme="minorHAnsi" w:hAnsiTheme="majorHAnsi" w:cs="Courier"/>
          <w:lang w:eastAsia="en-US"/>
        </w:rPr>
        <w:t>Niermeijer</w:t>
      </w:r>
      <w:r w:rsidR="004B6281">
        <w:rPr>
          <w:rFonts w:asciiTheme="majorHAnsi" w:eastAsiaTheme="minorHAnsi" w:hAnsiTheme="majorHAnsi" w:cs="Courier"/>
          <w:lang w:eastAsia="en-US"/>
        </w:rPr>
        <w:t xml:space="preserve"> MF</w:t>
      </w:r>
      <w:r w:rsidRPr="00436307">
        <w:rPr>
          <w:rFonts w:ascii="Cambria" w:hAnsi="Cambria"/>
          <w:noProof/>
        </w:rPr>
        <w:t xml:space="preserve">. (1993). Clinical and molecular studies in fragile X patients with a Prader-Willi-like phenotype. </w:t>
      </w:r>
      <w:r w:rsidRPr="00E654DB">
        <w:rPr>
          <w:rFonts w:ascii="Cambria" w:hAnsi="Cambria"/>
          <w:iCs/>
          <w:noProof/>
        </w:rPr>
        <w:t>Journal of Medical Genetics</w:t>
      </w:r>
      <w:r w:rsidRPr="00E654DB">
        <w:rPr>
          <w:rFonts w:ascii="Cambria" w:hAnsi="Cambria"/>
          <w:noProof/>
        </w:rPr>
        <w:t xml:space="preserve">, </w:t>
      </w:r>
      <w:r w:rsidRPr="00E654DB">
        <w:rPr>
          <w:rFonts w:ascii="Cambria" w:hAnsi="Cambria"/>
          <w:iCs/>
          <w:noProof/>
        </w:rPr>
        <w:t>30</w:t>
      </w:r>
      <w:r>
        <w:rPr>
          <w:rFonts w:ascii="Cambria" w:hAnsi="Cambria"/>
          <w:noProof/>
        </w:rPr>
        <w:t>(9):</w:t>
      </w:r>
      <w:r w:rsidRPr="00436307">
        <w:rPr>
          <w:rFonts w:ascii="Cambria" w:hAnsi="Cambria"/>
          <w:noProof/>
        </w:rPr>
        <w:t xml:space="preserve"> 761–766.</w:t>
      </w:r>
    </w:p>
    <w:p w:rsidR="00BD0108" w:rsidRPr="00436307" w:rsidRDefault="00BD0108" w:rsidP="00BD0108">
      <w:pPr>
        <w:pStyle w:val="NormalWeb"/>
        <w:spacing w:line="480" w:lineRule="auto"/>
        <w:ind w:left="480" w:hanging="480"/>
        <w:rPr>
          <w:rFonts w:ascii="Cambria" w:hAnsi="Cambria"/>
          <w:noProof/>
        </w:rPr>
      </w:pPr>
      <w:r w:rsidRPr="00436307">
        <w:rPr>
          <w:rFonts w:ascii="Cambria" w:hAnsi="Cambria"/>
          <w:noProof/>
        </w:rPr>
        <w:t>Donaldson</w:t>
      </w:r>
      <w:r>
        <w:rPr>
          <w:rFonts w:ascii="Cambria" w:hAnsi="Cambria"/>
          <w:noProof/>
        </w:rPr>
        <w:t xml:space="preserve"> MD, Chu CE, Cooke A, Wilson A, Greene SA &amp; Stephenson JB.</w:t>
      </w:r>
      <w:r w:rsidRPr="00436307">
        <w:rPr>
          <w:rFonts w:ascii="Cambria" w:hAnsi="Cambria"/>
          <w:noProof/>
        </w:rPr>
        <w:t xml:space="preserve"> </w:t>
      </w:r>
      <w:r>
        <w:rPr>
          <w:rFonts w:ascii="Cambria" w:hAnsi="Cambria"/>
          <w:noProof/>
        </w:rPr>
        <w:t>1994</w:t>
      </w:r>
      <w:r w:rsidRPr="00436307">
        <w:rPr>
          <w:rFonts w:ascii="Cambria" w:hAnsi="Cambria"/>
          <w:noProof/>
        </w:rPr>
        <w:t xml:space="preserve">. The Prader-Willi syndrome. </w:t>
      </w:r>
      <w:r w:rsidRPr="007B3F8F">
        <w:rPr>
          <w:rFonts w:ascii="Cambria" w:hAnsi="Cambria"/>
          <w:iCs/>
          <w:noProof/>
        </w:rPr>
        <w:t>Archives of Disease in Childhood</w:t>
      </w:r>
      <w:r w:rsidRPr="007B3F8F">
        <w:rPr>
          <w:rFonts w:ascii="Cambria" w:hAnsi="Cambria"/>
          <w:noProof/>
        </w:rPr>
        <w:t xml:space="preserve"> </w:t>
      </w:r>
      <w:r w:rsidRPr="007B3F8F">
        <w:rPr>
          <w:rFonts w:ascii="Cambria" w:hAnsi="Cambria"/>
          <w:iCs/>
          <w:noProof/>
        </w:rPr>
        <w:t>70</w:t>
      </w:r>
      <w:r>
        <w:rPr>
          <w:rFonts w:ascii="Cambria" w:hAnsi="Cambria"/>
          <w:noProof/>
        </w:rPr>
        <w:t>(1):</w:t>
      </w:r>
      <w:r w:rsidRPr="00436307">
        <w:rPr>
          <w:rFonts w:ascii="Cambria" w:hAnsi="Cambria"/>
          <w:noProof/>
        </w:rPr>
        <w:t xml:space="preserve"> 58–63.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lastRenderedPageBreak/>
        <w:t>Dykens EM. 1995</w:t>
      </w:r>
      <w:r w:rsidRPr="00436307">
        <w:rPr>
          <w:rFonts w:ascii="Cambria" w:hAnsi="Cambria"/>
          <w:noProof/>
        </w:rPr>
        <w:t xml:space="preserve">. Measuring behavioral phenotypes: provocations from the “new genetics”. </w:t>
      </w:r>
      <w:r>
        <w:rPr>
          <w:rFonts w:ascii="Cambria" w:hAnsi="Cambria"/>
          <w:iCs/>
          <w:noProof/>
        </w:rPr>
        <w:t>American J</w:t>
      </w:r>
      <w:r w:rsidRPr="00317D03">
        <w:rPr>
          <w:rFonts w:ascii="Cambria" w:hAnsi="Cambria"/>
          <w:iCs/>
          <w:noProof/>
        </w:rPr>
        <w:t>o</w:t>
      </w:r>
      <w:r>
        <w:rPr>
          <w:rFonts w:ascii="Cambria" w:hAnsi="Cambria"/>
          <w:iCs/>
          <w:noProof/>
        </w:rPr>
        <w:t>urnal of Mental Retardation</w:t>
      </w:r>
      <w:r w:rsidRPr="00436307">
        <w:rPr>
          <w:rFonts w:ascii="Cambria" w:hAnsi="Cambria"/>
          <w:noProof/>
        </w:rPr>
        <w:t xml:space="preserve"> </w:t>
      </w:r>
      <w:r w:rsidRPr="00317D03">
        <w:rPr>
          <w:rFonts w:ascii="Cambria" w:hAnsi="Cambria"/>
          <w:iCs/>
          <w:noProof/>
        </w:rPr>
        <w:t>99</w:t>
      </w:r>
      <w:r>
        <w:rPr>
          <w:rFonts w:ascii="Cambria" w:hAnsi="Cambria"/>
          <w:noProof/>
        </w:rPr>
        <w:t>(5):</w:t>
      </w:r>
      <w:r w:rsidRPr="00436307">
        <w:rPr>
          <w:rFonts w:ascii="Cambria" w:hAnsi="Cambria"/>
          <w:noProof/>
        </w:rPr>
        <w:t xml:space="preserve"> 522–532.</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Dykens EM, Leckman JF &amp; Cassidy S</w:t>
      </w:r>
      <w:r w:rsidRPr="00436307">
        <w:rPr>
          <w:rFonts w:ascii="Cambria" w:hAnsi="Cambria"/>
          <w:noProof/>
        </w:rPr>
        <w:t xml:space="preserve">B. </w:t>
      </w:r>
      <w:r>
        <w:rPr>
          <w:rFonts w:ascii="Cambria" w:hAnsi="Cambria"/>
          <w:noProof/>
        </w:rPr>
        <w:t>1996</w:t>
      </w:r>
      <w:r w:rsidRPr="00436307">
        <w:rPr>
          <w:rFonts w:ascii="Cambria" w:hAnsi="Cambria"/>
          <w:noProof/>
        </w:rPr>
        <w:t xml:space="preserve">. Obsessions and compulsions in Prader-Willi syndrome. </w:t>
      </w:r>
      <w:r w:rsidRPr="00F53C4E">
        <w:rPr>
          <w:rFonts w:ascii="Cambria" w:hAnsi="Cambria"/>
          <w:iCs/>
          <w:noProof/>
        </w:rPr>
        <w:t>The Journal of Child Psychology and Psychiatry and Allied Disciplines</w:t>
      </w:r>
      <w:r w:rsidRPr="00F53C4E">
        <w:rPr>
          <w:rFonts w:ascii="Cambria" w:hAnsi="Cambria"/>
          <w:noProof/>
        </w:rPr>
        <w:t xml:space="preserve"> </w:t>
      </w:r>
      <w:r w:rsidRPr="00F53C4E">
        <w:rPr>
          <w:rFonts w:ascii="Cambria" w:hAnsi="Cambria"/>
          <w:iCs/>
          <w:noProof/>
        </w:rPr>
        <w:t>37</w:t>
      </w:r>
      <w:r>
        <w:rPr>
          <w:rFonts w:ascii="Cambria" w:hAnsi="Cambria"/>
          <w:noProof/>
        </w:rPr>
        <w:t>(8):</w:t>
      </w:r>
      <w:r w:rsidRPr="00436307">
        <w:rPr>
          <w:rFonts w:ascii="Cambria" w:hAnsi="Cambria"/>
          <w:noProof/>
        </w:rPr>
        <w:t xml:space="preserve"> 995–1002.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 xml:space="preserve">García-Nonell C, Ratera ER, Harris S, Hessl D, Ono </w:t>
      </w:r>
      <w:r w:rsidR="00950A56">
        <w:rPr>
          <w:rFonts w:ascii="Cambria" w:hAnsi="Cambria"/>
          <w:noProof/>
        </w:rPr>
        <w:t>MY, Tartaglia N, Marvin E, Tassone F &amp; Hagerman RJ</w:t>
      </w:r>
      <w:r>
        <w:rPr>
          <w:rFonts w:ascii="Cambria" w:hAnsi="Cambria"/>
          <w:noProof/>
        </w:rPr>
        <w:t>. 2008</w:t>
      </w:r>
      <w:r w:rsidRPr="00436307">
        <w:rPr>
          <w:rFonts w:ascii="Cambria" w:hAnsi="Cambria"/>
          <w:noProof/>
        </w:rPr>
        <w:t xml:space="preserve">. Secondary medical diagnosis in fragile X syndrome with and without autism spectrum disorder. </w:t>
      </w:r>
      <w:r w:rsidRPr="002B37D0">
        <w:rPr>
          <w:rFonts w:ascii="Cambria" w:hAnsi="Cambria"/>
          <w:iCs/>
          <w:noProof/>
        </w:rPr>
        <w:t>American Journal of Medical Genetics. Part A</w:t>
      </w:r>
      <w:r w:rsidRPr="002B37D0">
        <w:rPr>
          <w:rFonts w:ascii="Cambria" w:hAnsi="Cambria"/>
          <w:noProof/>
        </w:rPr>
        <w:t xml:space="preserve">, </w:t>
      </w:r>
      <w:r w:rsidRPr="002B37D0">
        <w:rPr>
          <w:rFonts w:ascii="Cambria" w:hAnsi="Cambria"/>
          <w:iCs/>
          <w:noProof/>
        </w:rPr>
        <w:t>146A</w:t>
      </w:r>
      <w:r>
        <w:rPr>
          <w:rFonts w:ascii="Cambria" w:hAnsi="Cambria"/>
          <w:noProof/>
        </w:rPr>
        <w:t xml:space="preserve">(15): </w:t>
      </w:r>
      <w:r w:rsidRPr="00436307">
        <w:rPr>
          <w:rFonts w:ascii="Cambria" w:hAnsi="Cambria"/>
          <w:noProof/>
        </w:rPr>
        <w:t>1911–</w:t>
      </w:r>
      <w:r>
        <w:rPr>
          <w:rFonts w:ascii="Cambria" w:hAnsi="Cambria"/>
          <w:noProof/>
        </w:rPr>
        <w:t>191</w:t>
      </w:r>
      <w:r w:rsidRPr="00436307">
        <w:rPr>
          <w:rFonts w:ascii="Cambria" w:hAnsi="Cambria"/>
          <w:noProof/>
        </w:rPr>
        <w:t xml:space="preserve">6. </w:t>
      </w:r>
    </w:p>
    <w:p w:rsidR="00BD0108" w:rsidRDefault="00BD0108" w:rsidP="00BD0108">
      <w:pPr>
        <w:pStyle w:val="NormalWeb"/>
        <w:spacing w:line="480" w:lineRule="auto"/>
        <w:ind w:left="480" w:hanging="480"/>
      </w:pPr>
      <w:r>
        <w:rPr>
          <w:rFonts w:ascii="Cambria" w:hAnsi="Cambria"/>
          <w:noProof/>
        </w:rPr>
        <w:t>Garrett AS, Menon V, Mackenzie K, &amp; Reiss AL. 2004</w:t>
      </w:r>
      <w:r w:rsidRPr="00436307">
        <w:rPr>
          <w:rFonts w:ascii="Cambria" w:hAnsi="Cambria"/>
          <w:noProof/>
        </w:rPr>
        <w:t xml:space="preserve">. Here’s Looking at You, </w:t>
      </w:r>
      <w:r>
        <w:t>Kid.</w:t>
      </w:r>
      <w:r w:rsidRPr="004D1123">
        <w:t xml:space="preserve"> Arch</w:t>
      </w:r>
      <w:r>
        <w:t>ives of</w:t>
      </w:r>
      <w:r w:rsidRPr="004D1123">
        <w:t xml:space="preserve"> Gen</w:t>
      </w:r>
      <w:r>
        <w:t>eral</w:t>
      </w:r>
      <w:r w:rsidRPr="004D1123">
        <w:t xml:space="preserve"> Psychiatry</w:t>
      </w:r>
      <w:r>
        <w:t xml:space="preserve"> </w:t>
      </w:r>
      <w:r w:rsidRPr="004D1123">
        <w:t>61(3):</w:t>
      </w:r>
      <w:r>
        <w:t xml:space="preserve"> </w:t>
      </w:r>
      <w:r w:rsidRPr="004D1123">
        <w:t>281-8.</w:t>
      </w:r>
    </w:p>
    <w:p w:rsidR="00C05173" w:rsidRPr="004D1123" w:rsidRDefault="005F3664" w:rsidP="00BD0108">
      <w:pPr>
        <w:pStyle w:val="NormalWeb"/>
        <w:spacing w:line="480" w:lineRule="auto"/>
        <w:ind w:left="480" w:hanging="480"/>
      </w:pPr>
      <w:r>
        <w:t>Goldberg</w:t>
      </w:r>
      <w:r w:rsidR="00C05173">
        <w:t xml:space="preserve"> </w:t>
      </w:r>
      <w:r w:rsidR="00FD55B5">
        <w:t xml:space="preserve">D, Garrett C, </w:t>
      </w:r>
      <w:r w:rsidR="00CA18AA">
        <w:t xml:space="preserve">Van Riper C, </w:t>
      </w:r>
      <w:r w:rsidR="003B5720">
        <w:t xml:space="preserve">Warzak W. </w:t>
      </w:r>
      <w:r w:rsidR="00D45CCA">
        <w:t xml:space="preserve">2002. </w:t>
      </w:r>
      <w:r w:rsidR="003B5720">
        <w:t>Coping with Prader-Willi syndrome.</w:t>
      </w:r>
      <w:r>
        <w:t xml:space="preserve"> </w:t>
      </w:r>
      <w:r w:rsidR="0085029B">
        <w:t>Journal of the Ameri</w:t>
      </w:r>
      <w:r w:rsidR="00A85C46">
        <w:t xml:space="preserve">can Dietetic Association 102(4): </w:t>
      </w:r>
      <w:r w:rsidR="005C30C8">
        <w:t>537-542.</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 xml:space="preserve">Greenberg F, Elder FF &amp; Ledbetter DH. </w:t>
      </w:r>
      <w:r w:rsidRPr="00436307">
        <w:rPr>
          <w:rFonts w:ascii="Cambria" w:hAnsi="Cambria"/>
          <w:noProof/>
        </w:rPr>
        <w:t>1</w:t>
      </w:r>
      <w:r>
        <w:rPr>
          <w:rFonts w:ascii="Cambria" w:hAnsi="Cambria"/>
          <w:noProof/>
        </w:rPr>
        <w:t>987</w:t>
      </w:r>
      <w:r w:rsidRPr="00436307">
        <w:rPr>
          <w:rFonts w:ascii="Cambria" w:hAnsi="Cambria"/>
          <w:noProof/>
        </w:rPr>
        <w:t xml:space="preserve">. Neonatal diagnosis of Prader-Willi syndrome and its implications. </w:t>
      </w:r>
      <w:r w:rsidRPr="00B453E5">
        <w:rPr>
          <w:rFonts w:ascii="Cambria" w:hAnsi="Cambria"/>
          <w:iCs/>
          <w:noProof/>
        </w:rPr>
        <w:t>American Journal of Medical Genetics</w:t>
      </w:r>
      <w:r w:rsidRPr="00B453E5">
        <w:rPr>
          <w:rFonts w:ascii="Cambria" w:hAnsi="Cambria"/>
          <w:noProof/>
        </w:rPr>
        <w:t xml:space="preserve"> </w:t>
      </w:r>
      <w:r w:rsidRPr="00B453E5">
        <w:rPr>
          <w:rFonts w:ascii="Cambria" w:hAnsi="Cambria"/>
          <w:iCs/>
          <w:noProof/>
        </w:rPr>
        <w:t>28</w:t>
      </w:r>
      <w:r>
        <w:rPr>
          <w:rFonts w:ascii="Cambria" w:hAnsi="Cambria"/>
          <w:noProof/>
        </w:rPr>
        <w:t>(4):</w:t>
      </w:r>
      <w:r w:rsidRPr="00436307">
        <w:rPr>
          <w:rFonts w:ascii="Cambria" w:hAnsi="Cambria"/>
          <w:noProof/>
        </w:rPr>
        <w:t xml:space="preserve"> 845–856.</w:t>
      </w:r>
    </w:p>
    <w:p w:rsidR="00BD0108" w:rsidRDefault="00BD0108" w:rsidP="00BD0108">
      <w:pPr>
        <w:pStyle w:val="NormalWeb"/>
        <w:spacing w:line="480" w:lineRule="auto"/>
        <w:ind w:left="480" w:hanging="480"/>
        <w:rPr>
          <w:rFonts w:ascii="Cambria" w:hAnsi="Cambria"/>
          <w:noProof/>
        </w:rPr>
      </w:pPr>
      <w:r>
        <w:rPr>
          <w:rFonts w:ascii="Cambria" w:hAnsi="Cambria"/>
          <w:noProof/>
        </w:rPr>
        <w:t>Grimm ER &amp; Steinle NI.</w:t>
      </w:r>
      <w:r w:rsidRPr="00436307">
        <w:rPr>
          <w:rFonts w:ascii="Cambria" w:hAnsi="Cambria"/>
          <w:noProof/>
        </w:rPr>
        <w:t xml:space="preserve"> </w:t>
      </w:r>
      <w:r>
        <w:rPr>
          <w:rFonts w:ascii="Cambria" w:hAnsi="Cambria"/>
          <w:noProof/>
        </w:rPr>
        <w:t>2011</w:t>
      </w:r>
      <w:r w:rsidRPr="00436307">
        <w:rPr>
          <w:rFonts w:ascii="Cambria" w:hAnsi="Cambria"/>
          <w:noProof/>
        </w:rPr>
        <w:t xml:space="preserve">. Genetics of eating behavior: established and emerging concepts. </w:t>
      </w:r>
      <w:r>
        <w:rPr>
          <w:rFonts w:ascii="Cambria" w:hAnsi="Cambria"/>
          <w:iCs/>
          <w:noProof/>
        </w:rPr>
        <w:t>Nutrition R</w:t>
      </w:r>
      <w:r w:rsidRPr="0060080A">
        <w:rPr>
          <w:rFonts w:ascii="Cambria" w:hAnsi="Cambria"/>
          <w:iCs/>
          <w:noProof/>
        </w:rPr>
        <w:t>eviews</w:t>
      </w:r>
      <w:r w:rsidRPr="0060080A">
        <w:rPr>
          <w:rFonts w:ascii="Cambria" w:hAnsi="Cambria"/>
          <w:noProof/>
        </w:rPr>
        <w:t xml:space="preserve"> </w:t>
      </w:r>
      <w:r w:rsidRPr="0060080A">
        <w:rPr>
          <w:rFonts w:ascii="Cambria" w:hAnsi="Cambria"/>
          <w:iCs/>
          <w:noProof/>
        </w:rPr>
        <w:t>69</w:t>
      </w:r>
      <w:r>
        <w:rPr>
          <w:rFonts w:ascii="Cambria" w:hAnsi="Cambria"/>
          <w:noProof/>
        </w:rPr>
        <w:t>(1):</w:t>
      </w:r>
      <w:r w:rsidRPr="00436307">
        <w:rPr>
          <w:rFonts w:ascii="Cambria" w:hAnsi="Cambria"/>
          <w:noProof/>
        </w:rPr>
        <w:t xml:space="preserve"> 52–60. </w:t>
      </w:r>
    </w:p>
    <w:p w:rsidR="00AF78B7" w:rsidRPr="00436307" w:rsidRDefault="00AF78B7" w:rsidP="00BD0108">
      <w:pPr>
        <w:pStyle w:val="NormalWeb"/>
        <w:spacing w:line="480" w:lineRule="auto"/>
        <w:ind w:left="480" w:hanging="480"/>
        <w:rPr>
          <w:rFonts w:ascii="Cambria" w:hAnsi="Cambria"/>
          <w:noProof/>
        </w:rPr>
      </w:pPr>
      <w:r>
        <w:rPr>
          <w:rFonts w:ascii="Cambria" w:hAnsi="Cambria"/>
          <w:noProof/>
        </w:rPr>
        <w:t xml:space="preserve">Haig D. 2014. </w:t>
      </w:r>
      <w:r w:rsidR="00071B3D">
        <w:rPr>
          <w:rFonts w:ascii="Cambria" w:hAnsi="Cambria"/>
          <w:noProof/>
        </w:rPr>
        <w:t>T</w:t>
      </w:r>
      <w:r w:rsidR="00071B3D" w:rsidRPr="00071B3D">
        <w:rPr>
          <w:rFonts w:ascii="Cambria" w:hAnsi="Cambria"/>
          <w:noProof/>
        </w:rPr>
        <w:t>roubled sleep: Night waking, breastfeeding and parent-offspring conflict. Evolution, Medic</w:t>
      </w:r>
      <w:r w:rsidR="00071B3D">
        <w:rPr>
          <w:rFonts w:ascii="Cambria" w:hAnsi="Cambria"/>
          <w:noProof/>
        </w:rPr>
        <w:t xml:space="preserve">ine, and Public Health </w:t>
      </w:r>
      <w:r w:rsidR="00D3126A">
        <w:rPr>
          <w:rFonts w:ascii="Cambria" w:hAnsi="Cambria"/>
          <w:noProof/>
        </w:rPr>
        <w:t>2014</w:t>
      </w:r>
      <w:r w:rsidR="00071B3D">
        <w:rPr>
          <w:rFonts w:ascii="Cambria" w:hAnsi="Cambria"/>
          <w:noProof/>
        </w:rPr>
        <w:t>:</w:t>
      </w:r>
      <w:r w:rsidR="00071B3D" w:rsidRPr="00071B3D">
        <w:rPr>
          <w:rFonts w:ascii="Cambria" w:hAnsi="Cambria"/>
          <w:noProof/>
        </w:rPr>
        <w:t xml:space="preserve"> 32–9</w:t>
      </w:r>
      <w:r w:rsidR="000B6AC6">
        <w:rPr>
          <w:rFonts w:ascii="Cambria" w:hAnsi="Cambria"/>
          <w:noProof/>
        </w:rPr>
        <w:t>.</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lastRenderedPageBreak/>
        <w:t>Haig D &amp; Wharton</w:t>
      </w:r>
      <w:r w:rsidRPr="00436307">
        <w:rPr>
          <w:rFonts w:ascii="Cambria" w:hAnsi="Cambria"/>
          <w:noProof/>
        </w:rPr>
        <w:t xml:space="preserve"> R. </w:t>
      </w:r>
      <w:r>
        <w:rPr>
          <w:rFonts w:ascii="Cambria" w:hAnsi="Cambria"/>
          <w:noProof/>
        </w:rPr>
        <w:t>2003</w:t>
      </w:r>
      <w:r w:rsidRPr="00436307">
        <w:rPr>
          <w:rFonts w:ascii="Cambria" w:hAnsi="Cambria"/>
          <w:noProof/>
        </w:rPr>
        <w:t xml:space="preserve">. Prader-Willi syndrome and the evolution of human childhood. </w:t>
      </w:r>
      <w:r>
        <w:rPr>
          <w:rFonts w:ascii="Cambria" w:hAnsi="Cambria"/>
          <w:iCs/>
          <w:noProof/>
        </w:rPr>
        <w:t>American Journal of Human B</w:t>
      </w:r>
      <w:r w:rsidRPr="004B3C9D">
        <w:rPr>
          <w:rFonts w:ascii="Cambria" w:hAnsi="Cambria"/>
          <w:iCs/>
          <w:noProof/>
        </w:rPr>
        <w:t>iology</w:t>
      </w:r>
      <w:r>
        <w:rPr>
          <w:rFonts w:ascii="Cambria" w:hAnsi="Cambria"/>
          <w:iCs/>
          <w:noProof/>
        </w:rPr>
        <w:t xml:space="preserve"> </w:t>
      </w:r>
      <w:r w:rsidRPr="004B3C9D">
        <w:rPr>
          <w:rFonts w:ascii="Cambria" w:hAnsi="Cambria"/>
          <w:iCs/>
          <w:noProof/>
        </w:rPr>
        <w:t>15</w:t>
      </w:r>
      <w:r>
        <w:rPr>
          <w:rFonts w:ascii="Cambria" w:hAnsi="Cambria"/>
          <w:noProof/>
        </w:rPr>
        <w:t>(3):</w:t>
      </w:r>
      <w:r w:rsidRPr="00436307">
        <w:rPr>
          <w:rFonts w:ascii="Cambria" w:hAnsi="Cambria"/>
          <w:noProof/>
        </w:rPr>
        <w:t xml:space="preserve"> 320–9. </w:t>
      </w:r>
    </w:p>
    <w:p w:rsidR="00BD0108" w:rsidRDefault="00BD0108" w:rsidP="00BD0108">
      <w:pPr>
        <w:pStyle w:val="NormalWeb"/>
        <w:spacing w:line="480" w:lineRule="auto"/>
        <w:ind w:left="480" w:hanging="480"/>
        <w:rPr>
          <w:rFonts w:ascii="Cambria" w:hAnsi="Cambria"/>
          <w:noProof/>
        </w:rPr>
      </w:pPr>
      <w:r>
        <w:rPr>
          <w:rFonts w:ascii="Cambria" w:hAnsi="Cambria"/>
          <w:noProof/>
        </w:rPr>
        <w:t>Hawley PP, Jackson LG</w:t>
      </w:r>
      <w:r w:rsidRPr="00436307">
        <w:rPr>
          <w:rFonts w:ascii="Cambria" w:hAnsi="Cambria"/>
          <w:noProof/>
        </w:rPr>
        <w:t xml:space="preserve"> &amp;</w:t>
      </w:r>
      <w:r>
        <w:rPr>
          <w:rFonts w:ascii="Cambria" w:hAnsi="Cambria"/>
          <w:noProof/>
        </w:rPr>
        <w:t xml:space="preserve"> Kurnit D</w:t>
      </w:r>
      <w:r w:rsidRPr="00436307">
        <w:rPr>
          <w:rFonts w:ascii="Cambria" w:hAnsi="Cambria"/>
          <w:noProof/>
        </w:rPr>
        <w:t xml:space="preserve">M. </w:t>
      </w:r>
      <w:r>
        <w:rPr>
          <w:rFonts w:ascii="Cambria" w:hAnsi="Cambria"/>
          <w:noProof/>
        </w:rPr>
        <w:t>1985</w:t>
      </w:r>
      <w:r w:rsidRPr="00436307">
        <w:rPr>
          <w:rFonts w:ascii="Cambria" w:hAnsi="Cambria"/>
          <w:noProof/>
        </w:rPr>
        <w:t xml:space="preserve">. Sixty-four patients with Brachmann-de Lange syndrome: a survey. </w:t>
      </w:r>
      <w:r w:rsidRPr="003E7203">
        <w:rPr>
          <w:rFonts w:ascii="Cambria" w:hAnsi="Cambria"/>
          <w:iCs/>
          <w:noProof/>
        </w:rPr>
        <w:t>American Journal of Medical Genetics</w:t>
      </w:r>
      <w:r w:rsidRPr="003E7203">
        <w:rPr>
          <w:rFonts w:ascii="Cambria" w:hAnsi="Cambria"/>
          <w:noProof/>
        </w:rPr>
        <w:t xml:space="preserve">, </w:t>
      </w:r>
      <w:r w:rsidRPr="003E7203">
        <w:rPr>
          <w:rFonts w:ascii="Cambria" w:hAnsi="Cambria"/>
          <w:iCs/>
          <w:noProof/>
        </w:rPr>
        <w:t>20</w:t>
      </w:r>
      <w:r>
        <w:rPr>
          <w:rFonts w:ascii="Cambria" w:hAnsi="Cambria"/>
          <w:noProof/>
        </w:rPr>
        <w:t>(3):</w:t>
      </w:r>
      <w:r w:rsidRPr="00436307">
        <w:rPr>
          <w:rFonts w:ascii="Cambria" w:hAnsi="Cambria"/>
          <w:noProof/>
        </w:rPr>
        <w:t xml:space="preserve"> 453–459.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 xml:space="preserve">Heilstedt HA, Ballif BC, Howard LA, Lewis RA, Stal S, Kashork CD, Bacino CA, </w:t>
      </w:r>
      <w:r w:rsidR="00144460">
        <w:rPr>
          <w:rFonts w:ascii="Cambria" w:hAnsi="Cambria"/>
          <w:noProof/>
        </w:rPr>
        <w:t>Shapira SK, Shaffer LG</w:t>
      </w:r>
      <w:r>
        <w:rPr>
          <w:rFonts w:ascii="Cambria" w:hAnsi="Cambria"/>
          <w:noProof/>
        </w:rPr>
        <w:t xml:space="preserve">. </w:t>
      </w:r>
      <w:r w:rsidRPr="00436307">
        <w:rPr>
          <w:rFonts w:ascii="Cambria" w:hAnsi="Cambria"/>
          <w:noProof/>
        </w:rPr>
        <w:t>200</w:t>
      </w:r>
      <w:r>
        <w:rPr>
          <w:rFonts w:ascii="Cambria" w:hAnsi="Cambria"/>
          <w:noProof/>
        </w:rPr>
        <w:t>3</w:t>
      </w:r>
      <w:r w:rsidRPr="00436307">
        <w:rPr>
          <w:rFonts w:ascii="Cambria" w:hAnsi="Cambria"/>
          <w:noProof/>
        </w:rPr>
        <w:t xml:space="preserve">. Physical map of 1p36, placement of breakpoints in monosomy 1p36, and clinical characterization of the syndrome. </w:t>
      </w:r>
      <w:r w:rsidRPr="00351DE7">
        <w:rPr>
          <w:rFonts w:ascii="Cambria" w:hAnsi="Cambria"/>
          <w:iCs/>
          <w:noProof/>
        </w:rPr>
        <w:t>The American Journal of Human Genetics</w:t>
      </w:r>
      <w:r w:rsidRPr="00351DE7">
        <w:rPr>
          <w:rFonts w:ascii="Cambria" w:hAnsi="Cambria"/>
          <w:noProof/>
        </w:rPr>
        <w:t xml:space="preserve"> </w:t>
      </w:r>
      <w:r w:rsidRPr="00351DE7">
        <w:rPr>
          <w:rFonts w:ascii="Cambria" w:hAnsi="Cambria"/>
          <w:iCs/>
          <w:noProof/>
        </w:rPr>
        <w:t>72</w:t>
      </w:r>
      <w:r>
        <w:rPr>
          <w:rFonts w:ascii="Cambria" w:hAnsi="Cambria"/>
          <w:noProof/>
        </w:rPr>
        <w:t>(5):</w:t>
      </w:r>
      <w:r w:rsidRPr="00436307">
        <w:rPr>
          <w:rFonts w:ascii="Cambria" w:hAnsi="Cambria"/>
          <w:noProof/>
        </w:rPr>
        <w:t xml:space="preserve"> 1200–1212. </w:t>
      </w:r>
    </w:p>
    <w:p w:rsidR="00BD0108" w:rsidRDefault="00BD0108" w:rsidP="00BD0108">
      <w:pPr>
        <w:pStyle w:val="NormalWeb"/>
        <w:spacing w:line="480" w:lineRule="auto"/>
        <w:ind w:left="480" w:hanging="480"/>
        <w:rPr>
          <w:rFonts w:ascii="Cambria" w:hAnsi="Cambria"/>
          <w:noProof/>
        </w:rPr>
      </w:pPr>
      <w:r>
        <w:rPr>
          <w:rFonts w:ascii="Cambria" w:hAnsi="Cambria"/>
          <w:noProof/>
        </w:rPr>
        <w:t xml:space="preserve">Hodapp RM &amp; Dykens EM. 2001. </w:t>
      </w:r>
      <w:r w:rsidRPr="00D45987">
        <w:rPr>
          <w:rFonts w:ascii="Cambria" w:hAnsi="Cambria"/>
          <w:noProof/>
        </w:rPr>
        <w:t>Strengthening behavioral research on genetic mental retardation syndromes.</w:t>
      </w:r>
      <w:r>
        <w:rPr>
          <w:rFonts w:ascii="Cambria" w:hAnsi="Cambria"/>
          <w:noProof/>
        </w:rPr>
        <w:t xml:space="preserve"> American Journal of Mental Retardation </w:t>
      </w:r>
      <w:r w:rsidRPr="00D45987">
        <w:rPr>
          <w:rFonts w:ascii="Cambria" w:hAnsi="Cambria"/>
          <w:iCs/>
          <w:noProof/>
        </w:rPr>
        <w:t>106</w:t>
      </w:r>
      <w:r>
        <w:rPr>
          <w:rFonts w:ascii="Cambria" w:hAnsi="Cambria"/>
          <w:noProof/>
        </w:rPr>
        <w:t>(1):</w:t>
      </w:r>
      <w:r w:rsidRPr="00436307">
        <w:rPr>
          <w:rFonts w:ascii="Cambria" w:hAnsi="Cambria"/>
          <w:noProof/>
        </w:rPr>
        <w:t xml:space="preserve"> 4–15.</w:t>
      </w:r>
    </w:p>
    <w:p w:rsidR="00E810C9" w:rsidRDefault="00E810C9" w:rsidP="00BD0108">
      <w:pPr>
        <w:pStyle w:val="NormalWeb"/>
        <w:spacing w:line="480" w:lineRule="auto"/>
        <w:ind w:left="480" w:hanging="480"/>
        <w:rPr>
          <w:rFonts w:ascii="Cambria" w:hAnsi="Cambria"/>
          <w:noProof/>
        </w:rPr>
      </w:pPr>
      <w:r>
        <w:rPr>
          <w:rFonts w:ascii="Cambria" w:hAnsi="Cambria"/>
          <w:noProof/>
        </w:rPr>
        <w:t>Hoffman CJ, Aultman D &amp; Pipes</w:t>
      </w:r>
      <w:r w:rsidRPr="00E810C9">
        <w:rPr>
          <w:rFonts w:ascii="Cambria" w:hAnsi="Cambria"/>
          <w:noProof/>
        </w:rPr>
        <w:t xml:space="preserve"> P. </w:t>
      </w:r>
      <w:r>
        <w:rPr>
          <w:rFonts w:ascii="Cambria" w:hAnsi="Cambria"/>
          <w:noProof/>
        </w:rPr>
        <w:t xml:space="preserve">1992. </w:t>
      </w:r>
      <w:r w:rsidRPr="00E810C9">
        <w:rPr>
          <w:rFonts w:ascii="Cambria" w:hAnsi="Cambria"/>
          <w:noProof/>
        </w:rPr>
        <w:t>A nutrition survey of and recommendations for individuals with Prader-Willi syndrome who live in group homes</w:t>
      </w:r>
      <w:r>
        <w:rPr>
          <w:rFonts w:ascii="Cambria" w:hAnsi="Cambria"/>
          <w:noProof/>
        </w:rPr>
        <w:t>.</w:t>
      </w:r>
      <w:r w:rsidRPr="00E810C9">
        <w:rPr>
          <w:rFonts w:ascii="Cambria" w:hAnsi="Cambria"/>
          <w:noProof/>
        </w:rPr>
        <w:t xml:space="preserve"> Journal of the American Di</w:t>
      </w:r>
      <w:r w:rsidR="00FB6E01">
        <w:rPr>
          <w:rFonts w:ascii="Cambria" w:hAnsi="Cambria"/>
          <w:noProof/>
        </w:rPr>
        <w:t>etetic Association 92(7): 823–830, 833.</w:t>
      </w:r>
    </w:p>
    <w:p w:rsidR="00BD0108" w:rsidRPr="00E93BD2" w:rsidRDefault="00BD0108" w:rsidP="00BD0108">
      <w:pPr>
        <w:pStyle w:val="NormalWeb"/>
        <w:spacing w:line="480" w:lineRule="auto"/>
        <w:ind w:left="480" w:hanging="480"/>
        <w:rPr>
          <w:rFonts w:ascii="Cambria" w:hAnsi="Cambria"/>
          <w:noProof/>
        </w:rPr>
      </w:pPr>
      <w:r>
        <w:rPr>
          <w:rFonts w:ascii="Cambria" w:hAnsi="Cambria"/>
          <w:noProof/>
        </w:rPr>
        <w:t>Horsler K &amp; Oliver C. 2006</w:t>
      </w:r>
      <w:r w:rsidRPr="00436307">
        <w:rPr>
          <w:rFonts w:ascii="Cambria" w:hAnsi="Cambria"/>
          <w:noProof/>
        </w:rPr>
        <w:t xml:space="preserve">. The </w:t>
      </w:r>
      <w:r w:rsidR="003F6E56">
        <w:rPr>
          <w:rFonts w:ascii="Cambria" w:hAnsi="Cambria"/>
          <w:noProof/>
        </w:rPr>
        <w:t>behavior</w:t>
      </w:r>
      <w:r w:rsidRPr="00436307">
        <w:rPr>
          <w:rFonts w:ascii="Cambria" w:hAnsi="Cambria"/>
          <w:noProof/>
        </w:rPr>
        <w:t xml:space="preserve">al phenotype of Angelman syndrome. </w:t>
      </w:r>
      <w:r w:rsidRPr="00E93BD2">
        <w:rPr>
          <w:rFonts w:ascii="Cambria" w:hAnsi="Cambria"/>
          <w:iCs/>
          <w:noProof/>
        </w:rPr>
        <w:t>Journal of Intellectual Disability Research</w:t>
      </w:r>
      <w:r w:rsidRPr="00E93BD2">
        <w:rPr>
          <w:rFonts w:ascii="Cambria" w:hAnsi="Cambria"/>
          <w:noProof/>
        </w:rPr>
        <w:t xml:space="preserve"> </w:t>
      </w:r>
      <w:r w:rsidRPr="00E93BD2">
        <w:rPr>
          <w:rFonts w:ascii="Cambria" w:hAnsi="Cambria"/>
          <w:iCs/>
          <w:noProof/>
        </w:rPr>
        <w:t>50</w:t>
      </w:r>
      <w:r w:rsidRPr="00E93BD2">
        <w:rPr>
          <w:rFonts w:ascii="Cambria" w:hAnsi="Cambria"/>
          <w:noProof/>
        </w:rPr>
        <w:t xml:space="preserve">(1): 33–53.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Hyman P, Oliver C &amp; Hall S. 2002</w:t>
      </w:r>
      <w:r w:rsidRPr="00436307">
        <w:rPr>
          <w:rFonts w:ascii="Cambria" w:hAnsi="Cambria"/>
          <w:noProof/>
        </w:rPr>
        <w:t>. Compulsive Behavior</w:t>
      </w:r>
      <w:r>
        <w:rPr>
          <w:rFonts w:ascii="Cambria" w:hAnsi="Cambria"/>
          <w:noProof/>
        </w:rPr>
        <w:t>s in Cornelia de Lange Syndrome.</w:t>
      </w:r>
      <w:r w:rsidRPr="00436307">
        <w:rPr>
          <w:rFonts w:ascii="Cambria" w:hAnsi="Cambria"/>
          <w:noProof/>
        </w:rPr>
        <w:t xml:space="preserve"> </w:t>
      </w:r>
      <w:r>
        <w:rPr>
          <w:rFonts w:ascii="Cambria" w:hAnsi="Cambria"/>
          <w:noProof/>
        </w:rPr>
        <w:t xml:space="preserve">American Journal of Mental Retardation </w:t>
      </w:r>
      <w:r w:rsidRPr="00E61DFF">
        <w:rPr>
          <w:rFonts w:ascii="Cambria" w:hAnsi="Cambria"/>
          <w:iCs/>
          <w:noProof/>
        </w:rPr>
        <w:t>107</w:t>
      </w:r>
      <w:r>
        <w:rPr>
          <w:rFonts w:ascii="Cambria" w:hAnsi="Cambria"/>
          <w:noProof/>
        </w:rPr>
        <w:t>(2):</w:t>
      </w:r>
      <w:r w:rsidRPr="00436307">
        <w:rPr>
          <w:rFonts w:ascii="Cambria" w:hAnsi="Cambria"/>
          <w:noProof/>
        </w:rPr>
        <w:t xml:space="preserve"> 146–154.</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Kuschlick A, Blunden R &amp; Cox G. 1973</w:t>
      </w:r>
      <w:r w:rsidRPr="00436307">
        <w:rPr>
          <w:rFonts w:ascii="Cambria" w:hAnsi="Cambria"/>
          <w:noProof/>
        </w:rPr>
        <w:t xml:space="preserve">. A method of rating </w:t>
      </w:r>
      <w:r w:rsidR="003F6E56">
        <w:rPr>
          <w:rFonts w:ascii="Cambria" w:hAnsi="Cambria"/>
          <w:noProof/>
        </w:rPr>
        <w:t>behavior</w:t>
      </w:r>
      <w:r w:rsidRPr="00436307">
        <w:rPr>
          <w:rFonts w:ascii="Cambria" w:hAnsi="Cambria"/>
          <w:noProof/>
        </w:rPr>
        <w:t xml:space="preserve"> characteristics for use in large scale surveys of mental handicap. </w:t>
      </w:r>
      <w:r w:rsidRPr="005B3F6A">
        <w:rPr>
          <w:rFonts w:ascii="Cambria" w:hAnsi="Cambria"/>
          <w:iCs/>
          <w:noProof/>
        </w:rPr>
        <w:t>Psychological Medicine</w:t>
      </w:r>
      <w:r w:rsidRPr="005B3F6A">
        <w:rPr>
          <w:rFonts w:ascii="Cambria" w:hAnsi="Cambria"/>
          <w:noProof/>
        </w:rPr>
        <w:t xml:space="preserve"> </w:t>
      </w:r>
      <w:r w:rsidRPr="005B3F6A">
        <w:rPr>
          <w:rFonts w:ascii="Cambria" w:hAnsi="Cambria"/>
          <w:iCs/>
          <w:noProof/>
        </w:rPr>
        <w:t>3</w:t>
      </w:r>
      <w:r>
        <w:rPr>
          <w:rFonts w:ascii="Cambria" w:hAnsi="Cambria"/>
          <w:noProof/>
        </w:rPr>
        <w:t>: 466-478</w:t>
      </w:r>
      <w:r w:rsidRPr="00436307">
        <w:rPr>
          <w:rFonts w:ascii="Cambria" w:hAnsi="Cambria"/>
          <w:noProof/>
        </w:rPr>
        <w:t>.</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lastRenderedPageBreak/>
        <w:t>Luzzani S, Macchini F, Valadè A, Milani D</w:t>
      </w:r>
      <w:r w:rsidRPr="00436307">
        <w:rPr>
          <w:rFonts w:ascii="Cambria" w:hAnsi="Cambria"/>
          <w:noProof/>
        </w:rPr>
        <w:t xml:space="preserve"> &amp;</w:t>
      </w:r>
      <w:r>
        <w:rPr>
          <w:rFonts w:ascii="Cambria" w:hAnsi="Cambria"/>
          <w:noProof/>
        </w:rPr>
        <w:t xml:space="preserve"> Selicorni A. 2003</w:t>
      </w:r>
      <w:r w:rsidRPr="00436307">
        <w:rPr>
          <w:rFonts w:ascii="Cambria" w:hAnsi="Cambria"/>
          <w:noProof/>
        </w:rPr>
        <w:t xml:space="preserve">. Gastroesophageal reflux and Cornelia de Lange syndrome: typical and atypical symptoms. </w:t>
      </w:r>
      <w:r>
        <w:rPr>
          <w:rFonts w:ascii="Cambria" w:hAnsi="Cambria"/>
          <w:iCs/>
          <w:noProof/>
        </w:rPr>
        <w:t>American Journal of Medical G</w:t>
      </w:r>
      <w:r w:rsidRPr="00A24159">
        <w:rPr>
          <w:rFonts w:ascii="Cambria" w:hAnsi="Cambria"/>
          <w:iCs/>
          <w:noProof/>
        </w:rPr>
        <w:t>enetics Part A</w:t>
      </w:r>
      <w:r w:rsidRPr="00A24159">
        <w:rPr>
          <w:rFonts w:ascii="Cambria" w:hAnsi="Cambria"/>
          <w:noProof/>
        </w:rPr>
        <w:t xml:space="preserve"> </w:t>
      </w:r>
      <w:r w:rsidRPr="00A24159">
        <w:rPr>
          <w:rFonts w:ascii="Cambria" w:hAnsi="Cambria"/>
          <w:iCs/>
          <w:noProof/>
        </w:rPr>
        <w:t>119A</w:t>
      </w:r>
      <w:r>
        <w:rPr>
          <w:rFonts w:ascii="Cambria" w:hAnsi="Cambria"/>
          <w:noProof/>
        </w:rPr>
        <w:t xml:space="preserve">(3): 283–287.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McAllister CJ, Whittington JE &amp; Holland AJ. 2011</w:t>
      </w:r>
      <w:r w:rsidRPr="00436307">
        <w:rPr>
          <w:rFonts w:ascii="Cambria" w:hAnsi="Cambria"/>
          <w:noProof/>
        </w:rPr>
        <w:t xml:space="preserve">. Development of the eating </w:t>
      </w:r>
      <w:r w:rsidR="003F6E56">
        <w:rPr>
          <w:rFonts w:ascii="Cambria" w:hAnsi="Cambria"/>
          <w:noProof/>
        </w:rPr>
        <w:t>behavior</w:t>
      </w:r>
      <w:r w:rsidRPr="00436307">
        <w:rPr>
          <w:rFonts w:ascii="Cambria" w:hAnsi="Cambria"/>
          <w:noProof/>
        </w:rPr>
        <w:t xml:space="preserve"> in Prader-Willi Syndrome: advances in our understanding. </w:t>
      </w:r>
      <w:r w:rsidRPr="004D57FE">
        <w:rPr>
          <w:rFonts w:ascii="Cambria" w:hAnsi="Cambria"/>
          <w:iCs/>
          <w:noProof/>
        </w:rPr>
        <w:t>Interna</w:t>
      </w:r>
      <w:r>
        <w:rPr>
          <w:rFonts w:ascii="Cambria" w:hAnsi="Cambria"/>
          <w:iCs/>
          <w:noProof/>
        </w:rPr>
        <w:t>tional Journal of Obesity</w:t>
      </w:r>
      <w:r w:rsidRPr="004D57FE">
        <w:rPr>
          <w:rFonts w:ascii="Cambria" w:hAnsi="Cambria"/>
          <w:noProof/>
        </w:rPr>
        <w:t xml:space="preserve"> </w:t>
      </w:r>
      <w:r w:rsidRPr="004D57FE">
        <w:rPr>
          <w:rFonts w:ascii="Cambria" w:hAnsi="Cambria"/>
          <w:iCs/>
          <w:noProof/>
        </w:rPr>
        <w:t>35</w:t>
      </w:r>
      <w:r>
        <w:rPr>
          <w:rFonts w:ascii="Cambria" w:hAnsi="Cambria"/>
          <w:noProof/>
        </w:rPr>
        <w:t>(2):</w:t>
      </w:r>
      <w:r w:rsidRPr="00436307">
        <w:rPr>
          <w:rFonts w:ascii="Cambria" w:hAnsi="Cambria"/>
          <w:noProof/>
        </w:rPr>
        <w:t xml:space="preserve"> 188–97. </w:t>
      </w:r>
    </w:p>
    <w:p w:rsidR="00BD0108" w:rsidRDefault="00BD0108" w:rsidP="00BD0108">
      <w:pPr>
        <w:pStyle w:val="NormalWeb"/>
        <w:spacing w:line="480" w:lineRule="auto"/>
        <w:ind w:left="480" w:hanging="480"/>
        <w:rPr>
          <w:rFonts w:ascii="Cambria" w:hAnsi="Cambria"/>
          <w:noProof/>
        </w:rPr>
      </w:pPr>
      <w:r>
        <w:rPr>
          <w:rFonts w:ascii="Cambria" w:hAnsi="Cambria"/>
          <w:noProof/>
        </w:rPr>
        <w:t>Moss J, Oliver C, Arron K, Burbridge C &amp; Berg K. 2009</w:t>
      </w:r>
      <w:r w:rsidRPr="00436307">
        <w:rPr>
          <w:rFonts w:ascii="Cambria" w:hAnsi="Cambria"/>
          <w:noProof/>
        </w:rPr>
        <w:t>. The prevalence and phenomenology of repetitive behavior in genetic syndromes</w:t>
      </w:r>
      <w:r w:rsidRPr="00880FD8">
        <w:rPr>
          <w:rFonts w:ascii="Cambria" w:hAnsi="Cambria"/>
          <w:noProof/>
        </w:rPr>
        <w:t xml:space="preserve">. </w:t>
      </w:r>
      <w:r w:rsidRPr="00880FD8">
        <w:rPr>
          <w:rFonts w:ascii="Cambria" w:hAnsi="Cambria"/>
          <w:iCs/>
          <w:noProof/>
        </w:rPr>
        <w:t>Journal of Autism and Developmental Disorders</w:t>
      </w:r>
      <w:r w:rsidRPr="00880FD8">
        <w:rPr>
          <w:rFonts w:ascii="Cambria" w:hAnsi="Cambria"/>
          <w:noProof/>
        </w:rPr>
        <w:t xml:space="preserve"> </w:t>
      </w:r>
      <w:r w:rsidRPr="00880FD8">
        <w:rPr>
          <w:rFonts w:ascii="Cambria" w:hAnsi="Cambria"/>
          <w:iCs/>
          <w:noProof/>
        </w:rPr>
        <w:t>39</w:t>
      </w:r>
      <w:r>
        <w:rPr>
          <w:rFonts w:ascii="Cambria" w:hAnsi="Cambria"/>
          <w:noProof/>
        </w:rPr>
        <w:t xml:space="preserve">(4): </w:t>
      </w:r>
      <w:r w:rsidRPr="00436307">
        <w:rPr>
          <w:rFonts w:ascii="Cambria" w:hAnsi="Cambria"/>
          <w:noProof/>
        </w:rPr>
        <w:t xml:space="preserve">572–588.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Nowicki S, Tassone F, Ono M, Ferrant J, Croquette M, Goodlin-Jones B &amp; Hagerman</w:t>
      </w:r>
      <w:r w:rsidRPr="00436307">
        <w:rPr>
          <w:rFonts w:ascii="Cambria" w:hAnsi="Cambria"/>
          <w:noProof/>
        </w:rPr>
        <w:t xml:space="preserve"> R. </w:t>
      </w:r>
      <w:r>
        <w:rPr>
          <w:rFonts w:ascii="Cambria" w:hAnsi="Cambria"/>
          <w:noProof/>
        </w:rPr>
        <w:t>2007</w:t>
      </w:r>
      <w:r w:rsidRPr="00436307">
        <w:rPr>
          <w:rFonts w:ascii="Cambria" w:hAnsi="Cambria"/>
          <w:noProof/>
        </w:rPr>
        <w:t xml:space="preserve">. The Prader-Willi phenotype of fragile X syndrome. </w:t>
      </w:r>
      <w:r w:rsidRPr="00F11274">
        <w:rPr>
          <w:rFonts w:ascii="Cambria" w:hAnsi="Cambria"/>
          <w:iCs/>
          <w:noProof/>
        </w:rPr>
        <w:t>J Dev Behav Pediatr</w:t>
      </w:r>
      <w:r w:rsidRPr="00F11274">
        <w:rPr>
          <w:rFonts w:ascii="Cambria" w:hAnsi="Cambria"/>
          <w:noProof/>
        </w:rPr>
        <w:t xml:space="preserve">, </w:t>
      </w:r>
      <w:r w:rsidRPr="00F11274">
        <w:rPr>
          <w:rFonts w:ascii="Cambria" w:hAnsi="Cambria"/>
          <w:iCs/>
          <w:noProof/>
        </w:rPr>
        <w:t>28</w:t>
      </w:r>
      <w:r>
        <w:rPr>
          <w:rFonts w:ascii="Cambria" w:hAnsi="Cambria"/>
          <w:noProof/>
        </w:rPr>
        <w:t>(2):</w:t>
      </w:r>
      <w:r w:rsidRPr="00436307">
        <w:rPr>
          <w:rFonts w:ascii="Cambria" w:hAnsi="Cambria"/>
          <w:noProof/>
        </w:rPr>
        <w:t xml:space="preserve"> 133–8.</w:t>
      </w:r>
    </w:p>
    <w:p w:rsidR="00BD0108" w:rsidRDefault="00BD0108" w:rsidP="00BD0108">
      <w:pPr>
        <w:pStyle w:val="NormalWeb"/>
        <w:spacing w:line="480" w:lineRule="auto"/>
        <w:ind w:left="480" w:hanging="480"/>
        <w:rPr>
          <w:rFonts w:ascii="Cambria" w:hAnsi="Cambria"/>
          <w:noProof/>
        </w:rPr>
      </w:pPr>
      <w:r>
        <w:rPr>
          <w:rFonts w:ascii="Cambria" w:hAnsi="Cambria"/>
          <w:noProof/>
        </w:rPr>
        <w:t>Oliver C, Arron K, Hall S &amp; Sloneem J. 2008</w:t>
      </w:r>
      <w:r w:rsidRPr="00436307">
        <w:rPr>
          <w:rFonts w:ascii="Cambria" w:hAnsi="Cambria"/>
          <w:noProof/>
        </w:rPr>
        <w:t xml:space="preserve">. </w:t>
      </w:r>
      <w:r w:rsidR="003F6E56">
        <w:rPr>
          <w:rFonts w:ascii="Cambria" w:hAnsi="Cambria"/>
          <w:noProof/>
        </w:rPr>
        <w:t>Behavior</w:t>
      </w:r>
      <w:r w:rsidRPr="00436307">
        <w:rPr>
          <w:rFonts w:ascii="Cambria" w:hAnsi="Cambria"/>
          <w:noProof/>
        </w:rPr>
        <w:t xml:space="preserve">al phenotype of Cornelia de Lange syndrome: case-control study. </w:t>
      </w:r>
      <w:r w:rsidRPr="00DD0773">
        <w:rPr>
          <w:rFonts w:ascii="Cambria" w:hAnsi="Cambria"/>
          <w:iCs/>
          <w:noProof/>
        </w:rPr>
        <w:t>The British Journal of Psychiatry</w:t>
      </w:r>
      <w:r w:rsidRPr="00DD0773">
        <w:rPr>
          <w:rFonts w:ascii="Cambria" w:hAnsi="Cambria"/>
          <w:noProof/>
        </w:rPr>
        <w:t xml:space="preserve"> </w:t>
      </w:r>
      <w:r w:rsidRPr="00DD0773">
        <w:rPr>
          <w:rFonts w:ascii="Cambria" w:hAnsi="Cambria"/>
          <w:iCs/>
          <w:noProof/>
        </w:rPr>
        <w:t>193</w:t>
      </w:r>
      <w:r>
        <w:rPr>
          <w:rFonts w:ascii="Cambria" w:hAnsi="Cambria"/>
          <w:noProof/>
        </w:rPr>
        <w:t>(6):</w:t>
      </w:r>
      <w:r w:rsidRPr="00436307">
        <w:rPr>
          <w:rFonts w:ascii="Cambria" w:hAnsi="Cambria"/>
          <w:noProof/>
        </w:rPr>
        <w:t xml:space="preserve"> 466–470. </w:t>
      </w:r>
    </w:p>
    <w:p w:rsidR="00BD0108" w:rsidRPr="00436307" w:rsidRDefault="00BD0108" w:rsidP="00BD0108">
      <w:pPr>
        <w:pStyle w:val="NormalWeb"/>
        <w:spacing w:line="480" w:lineRule="auto"/>
        <w:ind w:left="480" w:hanging="480"/>
        <w:rPr>
          <w:rFonts w:ascii="Cambria" w:hAnsi="Cambria"/>
          <w:noProof/>
        </w:rPr>
      </w:pPr>
      <w:r>
        <w:rPr>
          <w:rFonts w:ascii="Cambria" w:hAnsi="Cambria"/>
          <w:noProof/>
        </w:rPr>
        <w:t>Oliver C, Berg K, Moss J, Arron K &amp; Burbidge</w:t>
      </w:r>
      <w:r w:rsidRPr="00436307">
        <w:rPr>
          <w:rFonts w:ascii="Cambria" w:hAnsi="Cambria"/>
          <w:noProof/>
        </w:rPr>
        <w:t xml:space="preserve"> C. </w:t>
      </w:r>
      <w:r>
        <w:rPr>
          <w:rFonts w:ascii="Cambria" w:hAnsi="Cambria"/>
          <w:noProof/>
        </w:rPr>
        <w:t>2011</w:t>
      </w:r>
      <w:r w:rsidRPr="00436307">
        <w:rPr>
          <w:rFonts w:ascii="Cambria" w:hAnsi="Cambria"/>
          <w:noProof/>
        </w:rPr>
        <w:t xml:space="preserve">. Delineation of </w:t>
      </w:r>
      <w:r w:rsidR="003F6E56">
        <w:rPr>
          <w:rFonts w:ascii="Cambria" w:hAnsi="Cambria"/>
          <w:noProof/>
        </w:rPr>
        <w:t>behavior</w:t>
      </w:r>
      <w:r w:rsidRPr="00436307">
        <w:rPr>
          <w:rFonts w:ascii="Cambria" w:hAnsi="Cambria"/>
          <w:noProof/>
        </w:rPr>
        <w:t xml:space="preserve">al phenotypes in genetic syndrome. Comparison of autism spectrum disorder, affect and hyperactivity. </w:t>
      </w:r>
      <w:r w:rsidRPr="00291D18">
        <w:rPr>
          <w:rFonts w:ascii="Cambria" w:hAnsi="Cambria"/>
          <w:iCs/>
          <w:noProof/>
        </w:rPr>
        <w:t>Journal of Autism and Developmental Disorders</w:t>
      </w:r>
      <w:r w:rsidRPr="00291D18">
        <w:rPr>
          <w:rFonts w:ascii="Cambria" w:hAnsi="Cambria"/>
          <w:noProof/>
        </w:rPr>
        <w:t xml:space="preserve">, </w:t>
      </w:r>
      <w:r w:rsidRPr="00291D18">
        <w:rPr>
          <w:rFonts w:ascii="Cambria" w:hAnsi="Cambria"/>
          <w:iCs/>
          <w:noProof/>
        </w:rPr>
        <w:t>41</w:t>
      </w:r>
      <w:r>
        <w:rPr>
          <w:rFonts w:ascii="Cambria" w:hAnsi="Cambria"/>
          <w:noProof/>
        </w:rPr>
        <w:t>(8):</w:t>
      </w:r>
      <w:r w:rsidRPr="00436307">
        <w:rPr>
          <w:rFonts w:ascii="Cambria" w:hAnsi="Cambria"/>
          <w:noProof/>
        </w:rPr>
        <w:t xml:space="preserve"> 1019–1032. </w:t>
      </w:r>
    </w:p>
    <w:p w:rsidR="00BD0108" w:rsidRDefault="00BD0108" w:rsidP="00BD0108">
      <w:pPr>
        <w:pStyle w:val="NormalWeb"/>
        <w:spacing w:line="480" w:lineRule="auto"/>
        <w:ind w:left="480" w:hanging="480"/>
        <w:rPr>
          <w:rFonts w:ascii="Cambria" w:hAnsi="Cambria"/>
          <w:noProof/>
        </w:rPr>
      </w:pPr>
      <w:r>
        <w:rPr>
          <w:rFonts w:ascii="Cambria" w:hAnsi="Cambria"/>
          <w:noProof/>
        </w:rPr>
        <w:t>Rodríguez VR, Mazzucato LF &amp; Pina-Neto J</w:t>
      </w:r>
      <w:r w:rsidRPr="00436307">
        <w:rPr>
          <w:rFonts w:ascii="Cambria" w:hAnsi="Cambria"/>
          <w:noProof/>
        </w:rPr>
        <w:t xml:space="preserve">M. </w:t>
      </w:r>
      <w:r>
        <w:rPr>
          <w:rFonts w:ascii="Cambria" w:hAnsi="Cambria"/>
          <w:noProof/>
        </w:rPr>
        <w:t>2008</w:t>
      </w:r>
      <w:r w:rsidRPr="00436307">
        <w:rPr>
          <w:rFonts w:ascii="Cambria" w:hAnsi="Cambria"/>
          <w:noProof/>
        </w:rPr>
        <w:t xml:space="preserve">. Lack of evidence for monosomy 1p36 in patients with Prader-Willi-like phenotype. </w:t>
      </w:r>
      <w:r>
        <w:rPr>
          <w:rFonts w:ascii="Cambria" w:hAnsi="Cambria"/>
          <w:iCs/>
          <w:noProof/>
        </w:rPr>
        <w:t>Brazilian Journal of Medical and Biological R</w:t>
      </w:r>
      <w:r w:rsidRPr="00E5499E">
        <w:rPr>
          <w:rFonts w:ascii="Cambria" w:hAnsi="Cambria"/>
          <w:iCs/>
          <w:noProof/>
        </w:rPr>
        <w:t>esearch</w:t>
      </w:r>
      <w:r w:rsidRPr="00436307">
        <w:rPr>
          <w:rFonts w:ascii="Cambria" w:hAnsi="Cambria"/>
          <w:i/>
          <w:iCs/>
          <w:noProof/>
        </w:rPr>
        <w:t xml:space="preserve"> </w:t>
      </w:r>
      <w:r w:rsidRPr="00E5499E">
        <w:rPr>
          <w:rFonts w:ascii="Cambria" w:hAnsi="Cambria"/>
          <w:iCs/>
          <w:noProof/>
        </w:rPr>
        <w:t>41</w:t>
      </w:r>
      <w:r>
        <w:rPr>
          <w:rFonts w:ascii="Cambria" w:hAnsi="Cambria"/>
          <w:noProof/>
        </w:rPr>
        <w:t>(8):</w:t>
      </w:r>
      <w:r w:rsidRPr="00436307">
        <w:rPr>
          <w:rFonts w:ascii="Cambria" w:hAnsi="Cambria"/>
          <w:noProof/>
        </w:rPr>
        <w:t xml:space="preserve"> 681–3. </w:t>
      </w:r>
    </w:p>
    <w:p w:rsidR="00BD0108" w:rsidRDefault="00BD0108" w:rsidP="00BD0108">
      <w:pPr>
        <w:pStyle w:val="NormalWeb"/>
        <w:spacing w:line="480" w:lineRule="auto"/>
        <w:ind w:left="480" w:hanging="480"/>
        <w:rPr>
          <w:rFonts w:ascii="Cambria" w:hAnsi="Cambria"/>
          <w:noProof/>
        </w:rPr>
      </w:pPr>
      <w:r>
        <w:rPr>
          <w:rFonts w:ascii="Cambria" w:hAnsi="Cambria"/>
          <w:noProof/>
        </w:rPr>
        <w:lastRenderedPageBreak/>
        <w:t>Russell H &amp; Oliver C. 2003</w:t>
      </w:r>
      <w:r w:rsidRPr="00436307">
        <w:rPr>
          <w:rFonts w:ascii="Cambria" w:hAnsi="Cambria"/>
          <w:noProof/>
        </w:rPr>
        <w:t xml:space="preserve">. The assessment of food-related problems in individuals with Prader-Willi syndrome. </w:t>
      </w:r>
      <w:r>
        <w:rPr>
          <w:rFonts w:ascii="Cambria" w:hAnsi="Cambria"/>
          <w:iCs/>
          <w:noProof/>
        </w:rPr>
        <w:t>The British Journal of Clinical P</w:t>
      </w:r>
      <w:r w:rsidRPr="00F85593">
        <w:rPr>
          <w:rFonts w:ascii="Cambria" w:hAnsi="Cambria"/>
          <w:iCs/>
          <w:noProof/>
        </w:rPr>
        <w:t>sychology 42</w:t>
      </w:r>
      <w:r>
        <w:rPr>
          <w:rFonts w:ascii="Cambria" w:hAnsi="Cambria"/>
          <w:noProof/>
        </w:rPr>
        <w:t>(4):</w:t>
      </w:r>
      <w:r w:rsidRPr="00436307">
        <w:rPr>
          <w:rFonts w:ascii="Cambria" w:hAnsi="Cambria"/>
          <w:noProof/>
        </w:rPr>
        <w:t xml:space="preserve"> 379–92. </w:t>
      </w:r>
    </w:p>
    <w:p w:rsidR="00BD0108" w:rsidRDefault="00BD0108" w:rsidP="00BD0108">
      <w:pPr>
        <w:pStyle w:val="NormalWeb"/>
        <w:spacing w:line="480" w:lineRule="auto"/>
        <w:ind w:left="480" w:hanging="480"/>
        <w:rPr>
          <w:rFonts w:ascii="Cambria" w:hAnsi="Cambria"/>
          <w:noProof/>
        </w:rPr>
      </w:pPr>
      <w:r>
        <w:rPr>
          <w:rFonts w:ascii="Cambria" w:hAnsi="Cambria"/>
          <w:noProof/>
        </w:rPr>
        <w:t>Tsuyusaki Y, Yoshihashi H</w:t>
      </w:r>
      <w:r w:rsidRPr="00436307">
        <w:rPr>
          <w:rFonts w:ascii="Cambria" w:hAnsi="Cambria"/>
          <w:noProof/>
        </w:rPr>
        <w:t>, Furu</w:t>
      </w:r>
      <w:r>
        <w:rPr>
          <w:rFonts w:ascii="Cambria" w:hAnsi="Cambria"/>
          <w:noProof/>
        </w:rPr>
        <w:t>ya N, Adachi M, Osaka H</w:t>
      </w:r>
      <w:r w:rsidRPr="00436307">
        <w:rPr>
          <w:rFonts w:ascii="Cambria" w:hAnsi="Cambria"/>
          <w:noProof/>
        </w:rPr>
        <w:t>, Yamamoto</w:t>
      </w:r>
      <w:r>
        <w:rPr>
          <w:rFonts w:ascii="Cambria" w:hAnsi="Cambria"/>
          <w:noProof/>
        </w:rPr>
        <w:t xml:space="preserve"> K, &amp; Kurosawa K. 2010</w:t>
      </w:r>
      <w:r w:rsidRPr="00436307">
        <w:rPr>
          <w:rFonts w:ascii="Cambria" w:hAnsi="Cambria"/>
          <w:noProof/>
        </w:rPr>
        <w:t xml:space="preserve">. 1p36 deletion syndrome associated with Prader-Willi-like phenotype. </w:t>
      </w:r>
      <w:r>
        <w:rPr>
          <w:rFonts w:ascii="Cambria" w:hAnsi="Cambria"/>
          <w:iCs/>
          <w:noProof/>
        </w:rPr>
        <w:t>Pediatrics International: Official J</w:t>
      </w:r>
      <w:r w:rsidRPr="00BC3920">
        <w:rPr>
          <w:rFonts w:ascii="Cambria" w:hAnsi="Cambria"/>
          <w:iCs/>
          <w:noProof/>
        </w:rPr>
        <w:t>ournal of the Japan Pediatric Society</w:t>
      </w:r>
      <w:r w:rsidRPr="00BC3920">
        <w:rPr>
          <w:rFonts w:ascii="Cambria" w:hAnsi="Cambria"/>
          <w:noProof/>
        </w:rPr>
        <w:t xml:space="preserve"> </w:t>
      </w:r>
      <w:r w:rsidRPr="00BC3920">
        <w:rPr>
          <w:rFonts w:ascii="Cambria" w:hAnsi="Cambria"/>
          <w:iCs/>
          <w:noProof/>
        </w:rPr>
        <w:t>52</w:t>
      </w:r>
      <w:r>
        <w:rPr>
          <w:rFonts w:ascii="Cambria" w:hAnsi="Cambria"/>
          <w:noProof/>
        </w:rPr>
        <w:t>(4):</w:t>
      </w:r>
      <w:r w:rsidRPr="00436307">
        <w:rPr>
          <w:rFonts w:ascii="Cambria" w:hAnsi="Cambria"/>
          <w:noProof/>
        </w:rPr>
        <w:t xml:space="preserve"> 547–50. </w:t>
      </w:r>
    </w:p>
    <w:p w:rsidR="00472B15" w:rsidRPr="00E233DD" w:rsidRDefault="00823ED8" w:rsidP="005B48A0">
      <w:pPr>
        <w:spacing w:line="480" w:lineRule="auto"/>
        <w:ind w:left="426" w:hanging="426"/>
        <w:rPr>
          <w:rFonts w:asciiTheme="majorHAnsi" w:hAnsiTheme="majorHAnsi"/>
          <w:noProof/>
        </w:rPr>
      </w:pPr>
      <w:r w:rsidRPr="00E233DD">
        <w:rPr>
          <w:rFonts w:asciiTheme="majorHAnsi" w:hAnsiTheme="majorHAnsi"/>
          <w:noProof/>
        </w:rPr>
        <w:t>Walters R, Jacquemont S, Valsesia A, De Smith A, Martinet D, Andersson J</w:t>
      </w:r>
      <w:r w:rsidR="00E233DD" w:rsidRPr="00E233DD">
        <w:rPr>
          <w:rFonts w:asciiTheme="majorHAnsi" w:hAnsiTheme="majorHAnsi"/>
          <w:noProof/>
        </w:rPr>
        <w:t xml:space="preserve">, Falchi </w:t>
      </w:r>
      <w:r w:rsidRPr="00E233DD">
        <w:rPr>
          <w:rFonts w:asciiTheme="majorHAnsi" w:hAnsiTheme="majorHAnsi"/>
          <w:noProof/>
        </w:rPr>
        <w:t>M</w:t>
      </w:r>
      <w:r w:rsidR="00472B15" w:rsidRPr="00E233DD">
        <w:rPr>
          <w:rFonts w:asciiTheme="majorHAnsi" w:hAnsiTheme="majorHAnsi"/>
          <w:noProof/>
        </w:rPr>
        <w:t xml:space="preserve">, </w:t>
      </w:r>
      <w:r w:rsidR="00E233DD" w:rsidRPr="00E233DD">
        <w:rPr>
          <w:rFonts w:asciiTheme="majorHAnsi" w:hAnsiTheme="majorHAnsi"/>
        </w:rPr>
        <w:t>Chen</w:t>
      </w:r>
      <w:r w:rsidRPr="00E233DD">
        <w:rPr>
          <w:rFonts w:asciiTheme="majorHAnsi" w:hAnsiTheme="majorHAnsi"/>
        </w:rPr>
        <w:t xml:space="preserve"> F</w:t>
      </w:r>
      <w:r w:rsidR="00E233DD" w:rsidRPr="00E233DD">
        <w:rPr>
          <w:rFonts w:asciiTheme="majorHAnsi" w:hAnsiTheme="majorHAnsi"/>
        </w:rPr>
        <w:t>, Andrieux</w:t>
      </w:r>
      <w:r w:rsidRPr="00E233DD">
        <w:rPr>
          <w:rFonts w:asciiTheme="majorHAnsi" w:hAnsiTheme="majorHAnsi"/>
        </w:rPr>
        <w:t xml:space="preserve"> J</w:t>
      </w:r>
      <w:r w:rsidR="00E233DD" w:rsidRPr="00E233DD">
        <w:rPr>
          <w:rFonts w:asciiTheme="majorHAnsi" w:hAnsiTheme="majorHAnsi"/>
        </w:rPr>
        <w:t xml:space="preserve">, </w:t>
      </w:r>
      <w:r w:rsidRPr="00E233DD">
        <w:rPr>
          <w:rFonts w:asciiTheme="majorHAnsi" w:hAnsiTheme="majorHAnsi"/>
        </w:rPr>
        <w:t>Lobbe</w:t>
      </w:r>
      <w:r w:rsidR="00E233DD" w:rsidRPr="00E233DD">
        <w:rPr>
          <w:rFonts w:asciiTheme="majorHAnsi" w:hAnsiTheme="majorHAnsi"/>
        </w:rPr>
        <w:t>ns</w:t>
      </w:r>
      <w:r w:rsidRPr="00E233DD">
        <w:rPr>
          <w:rFonts w:asciiTheme="majorHAnsi" w:hAnsiTheme="majorHAnsi"/>
        </w:rPr>
        <w:t xml:space="preserve"> S</w:t>
      </w:r>
      <w:r w:rsidR="00E233DD" w:rsidRPr="00E233DD">
        <w:rPr>
          <w:rFonts w:asciiTheme="majorHAnsi" w:hAnsiTheme="majorHAnsi"/>
        </w:rPr>
        <w:t>, Delobel</w:t>
      </w:r>
      <w:r w:rsidRPr="00E233DD">
        <w:rPr>
          <w:rFonts w:asciiTheme="majorHAnsi" w:hAnsiTheme="majorHAnsi"/>
        </w:rPr>
        <w:t xml:space="preserve"> B</w:t>
      </w:r>
      <w:r w:rsidR="00E233DD" w:rsidRPr="00E233DD">
        <w:rPr>
          <w:rFonts w:asciiTheme="majorHAnsi" w:hAnsiTheme="majorHAnsi"/>
        </w:rPr>
        <w:t>, Stutzmann</w:t>
      </w:r>
      <w:r w:rsidRPr="00E233DD">
        <w:rPr>
          <w:rFonts w:asciiTheme="majorHAnsi" w:hAnsiTheme="majorHAnsi"/>
        </w:rPr>
        <w:t xml:space="preserve"> F</w:t>
      </w:r>
      <w:r w:rsidR="00E233DD" w:rsidRPr="00E233DD">
        <w:rPr>
          <w:rFonts w:asciiTheme="majorHAnsi" w:hAnsiTheme="majorHAnsi"/>
        </w:rPr>
        <w:t>, El-Sayed Moustafa J, Chèvre</w:t>
      </w:r>
      <w:r w:rsidRPr="00E233DD">
        <w:rPr>
          <w:rFonts w:asciiTheme="majorHAnsi" w:hAnsiTheme="majorHAnsi"/>
        </w:rPr>
        <w:t xml:space="preserve"> J-C</w:t>
      </w:r>
      <w:r w:rsidR="00E233DD" w:rsidRPr="00E233DD">
        <w:rPr>
          <w:rFonts w:asciiTheme="majorHAnsi" w:hAnsiTheme="majorHAnsi"/>
        </w:rPr>
        <w:t>, Lecoeur</w:t>
      </w:r>
      <w:r w:rsidRPr="00E233DD">
        <w:rPr>
          <w:rFonts w:asciiTheme="majorHAnsi" w:hAnsiTheme="majorHAnsi"/>
        </w:rPr>
        <w:t xml:space="preserve"> C</w:t>
      </w:r>
      <w:r w:rsidR="00E233DD" w:rsidRPr="00E233DD">
        <w:rPr>
          <w:rFonts w:asciiTheme="majorHAnsi" w:hAnsiTheme="majorHAnsi"/>
        </w:rPr>
        <w:t>, Vatin</w:t>
      </w:r>
      <w:r w:rsidRPr="00E233DD">
        <w:rPr>
          <w:rFonts w:asciiTheme="majorHAnsi" w:hAnsiTheme="majorHAnsi"/>
        </w:rPr>
        <w:t xml:space="preserve"> V</w:t>
      </w:r>
      <w:r w:rsidR="00E233DD" w:rsidRPr="00E233DD">
        <w:rPr>
          <w:rFonts w:asciiTheme="majorHAnsi" w:hAnsiTheme="majorHAnsi"/>
        </w:rPr>
        <w:t>, Bouquillon</w:t>
      </w:r>
      <w:r w:rsidRPr="00E233DD">
        <w:rPr>
          <w:rFonts w:asciiTheme="majorHAnsi" w:hAnsiTheme="majorHAnsi"/>
        </w:rPr>
        <w:t xml:space="preserve"> S</w:t>
      </w:r>
      <w:r w:rsidR="00E233DD" w:rsidRPr="00E233DD">
        <w:rPr>
          <w:rFonts w:asciiTheme="majorHAnsi" w:hAnsiTheme="majorHAnsi"/>
        </w:rPr>
        <w:t>, Buxton J, Boute</w:t>
      </w:r>
      <w:r w:rsidRPr="00E233DD">
        <w:rPr>
          <w:rFonts w:asciiTheme="majorHAnsi" w:hAnsiTheme="majorHAnsi"/>
        </w:rPr>
        <w:t xml:space="preserve"> O</w:t>
      </w:r>
      <w:r w:rsidR="00E233DD" w:rsidRPr="00E233DD">
        <w:rPr>
          <w:rFonts w:asciiTheme="majorHAnsi" w:hAnsiTheme="majorHAnsi"/>
        </w:rPr>
        <w:t>, Holder-Espinasse</w:t>
      </w:r>
      <w:r w:rsidRPr="00E233DD">
        <w:rPr>
          <w:rFonts w:asciiTheme="majorHAnsi" w:hAnsiTheme="majorHAnsi"/>
        </w:rPr>
        <w:t xml:space="preserve"> M</w:t>
      </w:r>
      <w:r w:rsidR="00E233DD" w:rsidRPr="00E233DD">
        <w:rPr>
          <w:rFonts w:asciiTheme="majorHAnsi" w:hAnsiTheme="majorHAnsi"/>
        </w:rPr>
        <w:t>, Cuisset</w:t>
      </w:r>
      <w:r w:rsidRPr="00E233DD">
        <w:rPr>
          <w:rFonts w:asciiTheme="majorHAnsi" w:hAnsiTheme="majorHAnsi"/>
        </w:rPr>
        <w:t xml:space="preserve"> J-M</w:t>
      </w:r>
      <w:r w:rsidR="00E233DD" w:rsidRPr="00E233DD">
        <w:rPr>
          <w:rFonts w:asciiTheme="majorHAnsi" w:hAnsiTheme="majorHAnsi"/>
        </w:rPr>
        <w:t>, Lemaitre</w:t>
      </w:r>
      <w:r w:rsidRPr="00E233DD">
        <w:rPr>
          <w:rFonts w:asciiTheme="majorHAnsi" w:hAnsiTheme="majorHAnsi"/>
        </w:rPr>
        <w:t xml:space="preserve"> M-P</w:t>
      </w:r>
      <w:r w:rsidR="00E233DD" w:rsidRPr="00E233DD">
        <w:rPr>
          <w:rFonts w:asciiTheme="majorHAnsi" w:hAnsiTheme="majorHAnsi"/>
        </w:rPr>
        <w:t>, Ambresin</w:t>
      </w:r>
      <w:r w:rsidRPr="00E233DD">
        <w:rPr>
          <w:rFonts w:asciiTheme="majorHAnsi" w:hAnsiTheme="majorHAnsi"/>
        </w:rPr>
        <w:t xml:space="preserve"> A-E</w:t>
      </w:r>
      <w:r w:rsidR="00E233DD" w:rsidRPr="00E233DD">
        <w:rPr>
          <w:rFonts w:asciiTheme="majorHAnsi" w:hAnsiTheme="majorHAnsi"/>
        </w:rPr>
        <w:t>, Brioschi</w:t>
      </w:r>
      <w:r w:rsidRPr="00E233DD">
        <w:rPr>
          <w:rFonts w:asciiTheme="majorHAnsi" w:hAnsiTheme="majorHAnsi"/>
        </w:rPr>
        <w:t xml:space="preserve"> A</w:t>
      </w:r>
      <w:r w:rsidR="00E233DD" w:rsidRPr="00E233DD">
        <w:rPr>
          <w:rFonts w:asciiTheme="majorHAnsi" w:hAnsiTheme="majorHAnsi"/>
        </w:rPr>
        <w:t>, Gaillard</w:t>
      </w:r>
      <w:r w:rsidRPr="00E233DD">
        <w:rPr>
          <w:rFonts w:asciiTheme="majorHAnsi" w:hAnsiTheme="majorHAnsi"/>
        </w:rPr>
        <w:t xml:space="preserve"> M</w:t>
      </w:r>
      <w:r w:rsidR="00E233DD" w:rsidRPr="00E233DD">
        <w:rPr>
          <w:rFonts w:asciiTheme="majorHAnsi" w:hAnsiTheme="majorHAnsi"/>
        </w:rPr>
        <w:t>, Giusti</w:t>
      </w:r>
      <w:r w:rsidRPr="00E233DD">
        <w:rPr>
          <w:rFonts w:asciiTheme="majorHAnsi" w:hAnsiTheme="majorHAnsi"/>
        </w:rPr>
        <w:t xml:space="preserve"> V</w:t>
      </w:r>
      <w:r w:rsidR="00E233DD" w:rsidRPr="00E233DD">
        <w:rPr>
          <w:rFonts w:asciiTheme="majorHAnsi" w:hAnsiTheme="majorHAnsi"/>
        </w:rPr>
        <w:t>, Fellmann</w:t>
      </w:r>
      <w:r w:rsidRPr="00E233DD">
        <w:rPr>
          <w:rFonts w:asciiTheme="majorHAnsi" w:hAnsiTheme="majorHAnsi"/>
        </w:rPr>
        <w:t xml:space="preserve"> F</w:t>
      </w:r>
      <w:r w:rsidR="00E233DD" w:rsidRPr="00E233DD">
        <w:rPr>
          <w:rFonts w:asciiTheme="majorHAnsi" w:hAnsiTheme="majorHAnsi"/>
        </w:rPr>
        <w:t>, Ferrarini</w:t>
      </w:r>
      <w:r w:rsidRPr="00E233DD">
        <w:rPr>
          <w:rFonts w:asciiTheme="majorHAnsi" w:hAnsiTheme="majorHAnsi"/>
        </w:rPr>
        <w:t xml:space="preserve"> A</w:t>
      </w:r>
      <w:r w:rsidR="00E233DD" w:rsidRPr="00E233DD">
        <w:rPr>
          <w:rFonts w:asciiTheme="majorHAnsi" w:hAnsiTheme="majorHAnsi"/>
        </w:rPr>
        <w:t>, Hadjikhani</w:t>
      </w:r>
      <w:r w:rsidRPr="00E233DD">
        <w:rPr>
          <w:rFonts w:asciiTheme="majorHAnsi" w:hAnsiTheme="majorHAnsi"/>
        </w:rPr>
        <w:t xml:space="preserve"> N</w:t>
      </w:r>
      <w:r w:rsidR="00E233DD" w:rsidRPr="00E233DD">
        <w:rPr>
          <w:rFonts w:asciiTheme="majorHAnsi" w:hAnsiTheme="majorHAnsi"/>
        </w:rPr>
        <w:t>, Campion</w:t>
      </w:r>
      <w:r w:rsidRPr="00E233DD">
        <w:rPr>
          <w:rFonts w:asciiTheme="majorHAnsi" w:hAnsiTheme="majorHAnsi"/>
        </w:rPr>
        <w:t xml:space="preserve"> D</w:t>
      </w:r>
      <w:r w:rsidR="00E233DD" w:rsidRPr="00E233DD">
        <w:rPr>
          <w:rFonts w:asciiTheme="majorHAnsi" w:hAnsiTheme="majorHAnsi"/>
        </w:rPr>
        <w:t>, Guilmatre</w:t>
      </w:r>
      <w:r w:rsidRPr="00E233DD">
        <w:rPr>
          <w:rFonts w:asciiTheme="majorHAnsi" w:hAnsiTheme="majorHAnsi"/>
        </w:rPr>
        <w:t xml:space="preserve"> A</w:t>
      </w:r>
      <w:r w:rsidR="00E233DD" w:rsidRPr="00E233DD">
        <w:rPr>
          <w:rFonts w:asciiTheme="majorHAnsi" w:hAnsiTheme="majorHAnsi"/>
        </w:rPr>
        <w:t>, Goldenberg</w:t>
      </w:r>
      <w:r w:rsidRPr="00E233DD">
        <w:rPr>
          <w:rFonts w:asciiTheme="majorHAnsi" w:hAnsiTheme="majorHAnsi"/>
        </w:rPr>
        <w:t xml:space="preserve"> A</w:t>
      </w:r>
      <w:r w:rsidR="00E233DD" w:rsidRPr="00E233DD">
        <w:rPr>
          <w:rFonts w:asciiTheme="majorHAnsi" w:hAnsiTheme="majorHAnsi"/>
        </w:rPr>
        <w:t>, Calmels</w:t>
      </w:r>
      <w:r w:rsidRPr="00E233DD">
        <w:rPr>
          <w:rFonts w:asciiTheme="majorHAnsi" w:hAnsiTheme="majorHAnsi"/>
        </w:rPr>
        <w:t xml:space="preserve"> N</w:t>
      </w:r>
      <w:r w:rsidR="00E233DD" w:rsidRPr="00E233DD">
        <w:rPr>
          <w:rFonts w:asciiTheme="majorHAnsi" w:hAnsiTheme="majorHAnsi"/>
        </w:rPr>
        <w:t>, Mandel</w:t>
      </w:r>
      <w:r w:rsidRPr="00E233DD">
        <w:rPr>
          <w:rFonts w:asciiTheme="majorHAnsi" w:hAnsiTheme="majorHAnsi"/>
        </w:rPr>
        <w:t xml:space="preserve"> J-L</w:t>
      </w:r>
      <w:r w:rsidR="00E233DD" w:rsidRPr="00E233DD">
        <w:rPr>
          <w:rFonts w:asciiTheme="majorHAnsi" w:hAnsiTheme="majorHAnsi"/>
        </w:rPr>
        <w:t>, Le Caignec</w:t>
      </w:r>
      <w:r w:rsidRPr="00E233DD">
        <w:rPr>
          <w:rFonts w:asciiTheme="majorHAnsi" w:hAnsiTheme="majorHAnsi"/>
        </w:rPr>
        <w:t xml:space="preserve"> C</w:t>
      </w:r>
      <w:r w:rsidR="00E233DD" w:rsidRPr="00E233DD">
        <w:rPr>
          <w:rFonts w:asciiTheme="majorHAnsi" w:hAnsiTheme="majorHAnsi"/>
        </w:rPr>
        <w:t>, David</w:t>
      </w:r>
      <w:r w:rsidRPr="00E233DD">
        <w:rPr>
          <w:rFonts w:asciiTheme="majorHAnsi" w:hAnsiTheme="majorHAnsi"/>
        </w:rPr>
        <w:t xml:space="preserve"> A</w:t>
      </w:r>
      <w:r w:rsidR="00E233DD" w:rsidRPr="00E233DD">
        <w:rPr>
          <w:rFonts w:asciiTheme="majorHAnsi" w:hAnsiTheme="majorHAnsi"/>
        </w:rPr>
        <w:t>, Isidor</w:t>
      </w:r>
      <w:r w:rsidRPr="00E233DD">
        <w:rPr>
          <w:rFonts w:asciiTheme="majorHAnsi" w:hAnsiTheme="majorHAnsi"/>
        </w:rPr>
        <w:t xml:space="preserve"> B</w:t>
      </w:r>
      <w:r w:rsidR="00E233DD" w:rsidRPr="00E233DD">
        <w:rPr>
          <w:rFonts w:asciiTheme="majorHAnsi" w:hAnsiTheme="majorHAnsi"/>
        </w:rPr>
        <w:t>, Cordier</w:t>
      </w:r>
      <w:r w:rsidRPr="00E233DD">
        <w:rPr>
          <w:rFonts w:asciiTheme="majorHAnsi" w:hAnsiTheme="majorHAnsi"/>
        </w:rPr>
        <w:t xml:space="preserve"> M-P</w:t>
      </w:r>
      <w:r w:rsidR="00E233DD" w:rsidRPr="00E233DD">
        <w:rPr>
          <w:rFonts w:asciiTheme="majorHAnsi" w:hAnsiTheme="majorHAnsi"/>
        </w:rPr>
        <w:t>, Dupuis-Girod</w:t>
      </w:r>
      <w:r w:rsidRPr="00E233DD">
        <w:rPr>
          <w:rFonts w:asciiTheme="majorHAnsi" w:hAnsiTheme="majorHAnsi"/>
        </w:rPr>
        <w:t xml:space="preserve"> S</w:t>
      </w:r>
      <w:r w:rsidR="00E233DD" w:rsidRPr="00E233DD">
        <w:rPr>
          <w:rFonts w:asciiTheme="majorHAnsi" w:hAnsiTheme="majorHAnsi"/>
        </w:rPr>
        <w:t>, Labalme</w:t>
      </w:r>
      <w:r w:rsidRPr="00E233DD">
        <w:rPr>
          <w:rFonts w:asciiTheme="majorHAnsi" w:hAnsiTheme="majorHAnsi"/>
        </w:rPr>
        <w:t xml:space="preserve"> A</w:t>
      </w:r>
      <w:r w:rsidR="00E233DD" w:rsidRPr="00E233DD">
        <w:rPr>
          <w:rFonts w:asciiTheme="majorHAnsi" w:hAnsiTheme="majorHAnsi"/>
        </w:rPr>
        <w:t>, Sanlaville</w:t>
      </w:r>
      <w:r w:rsidRPr="00E233DD">
        <w:rPr>
          <w:rFonts w:asciiTheme="majorHAnsi" w:hAnsiTheme="majorHAnsi"/>
        </w:rPr>
        <w:t xml:space="preserve"> D</w:t>
      </w:r>
      <w:r w:rsidR="00E233DD" w:rsidRPr="00E233DD">
        <w:rPr>
          <w:rFonts w:asciiTheme="majorHAnsi" w:hAnsiTheme="majorHAnsi"/>
        </w:rPr>
        <w:t>, Béri-Dexheimer</w:t>
      </w:r>
      <w:r w:rsidRPr="00E233DD">
        <w:rPr>
          <w:rFonts w:asciiTheme="majorHAnsi" w:hAnsiTheme="majorHAnsi"/>
        </w:rPr>
        <w:t xml:space="preserve"> M</w:t>
      </w:r>
      <w:r w:rsidR="00E233DD" w:rsidRPr="00E233DD">
        <w:rPr>
          <w:rFonts w:asciiTheme="majorHAnsi" w:hAnsiTheme="majorHAnsi"/>
        </w:rPr>
        <w:t>, Jonveaux</w:t>
      </w:r>
      <w:r w:rsidRPr="00E233DD">
        <w:rPr>
          <w:rFonts w:asciiTheme="majorHAnsi" w:hAnsiTheme="majorHAnsi"/>
        </w:rPr>
        <w:t xml:space="preserve"> P</w:t>
      </w:r>
      <w:r w:rsidR="00E233DD" w:rsidRPr="00E233DD">
        <w:rPr>
          <w:rFonts w:asciiTheme="majorHAnsi" w:hAnsiTheme="majorHAnsi"/>
        </w:rPr>
        <w:t>, Leheup</w:t>
      </w:r>
      <w:r w:rsidRPr="00E233DD">
        <w:rPr>
          <w:rFonts w:asciiTheme="majorHAnsi" w:hAnsiTheme="majorHAnsi"/>
        </w:rPr>
        <w:t xml:space="preserve"> B</w:t>
      </w:r>
      <w:r w:rsidR="00E233DD" w:rsidRPr="00E233DD">
        <w:rPr>
          <w:rFonts w:asciiTheme="majorHAnsi" w:hAnsiTheme="majorHAnsi"/>
        </w:rPr>
        <w:t>, Ounap</w:t>
      </w:r>
      <w:r w:rsidRPr="00E233DD">
        <w:rPr>
          <w:rFonts w:asciiTheme="majorHAnsi" w:hAnsiTheme="majorHAnsi"/>
        </w:rPr>
        <w:t xml:space="preserve"> K</w:t>
      </w:r>
      <w:r w:rsidR="00E233DD" w:rsidRPr="00E233DD">
        <w:rPr>
          <w:rFonts w:asciiTheme="majorHAnsi" w:hAnsiTheme="majorHAnsi"/>
        </w:rPr>
        <w:t>, Bochukova E, Henning</w:t>
      </w:r>
      <w:r w:rsidRPr="00E233DD">
        <w:rPr>
          <w:rFonts w:asciiTheme="majorHAnsi" w:hAnsiTheme="majorHAnsi"/>
        </w:rPr>
        <w:t xml:space="preserve"> E</w:t>
      </w:r>
      <w:r w:rsidR="00E233DD" w:rsidRPr="00E233DD">
        <w:rPr>
          <w:rFonts w:asciiTheme="majorHAnsi" w:hAnsiTheme="majorHAnsi"/>
        </w:rPr>
        <w:t>, Keogh</w:t>
      </w:r>
      <w:r w:rsidRPr="00E233DD">
        <w:rPr>
          <w:rFonts w:asciiTheme="majorHAnsi" w:hAnsiTheme="majorHAnsi"/>
        </w:rPr>
        <w:t xml:space="preserve"> J</w:t>
      </w:r>
      <w:r w:rsidR="00E233DD" w:rsidRPr="00E233DD">
        <w:rPr>
          <w:rFonts w:asciiTheme="majorHAnsi" w:hAnsiTheme="majorHAnsi"/>
        </w:rPr>
        <w:t>, Ellis</w:t>
      </w:r>
      <w:r w:rsidRPr="00E233DD">
        <w:rPr>
          <w:rFonts w:asciiTheme="majorHAnsi" w:hAnsiTheme="majorHAnsi"/>
        </w:rPr>
        <w:t xml:space="preserve"> R</w:t>
      </w:r>
      <w:r w:rsidR="00E233DD" w:rsidRPr="00E233DD">
        <w:rPr>
          <w:rFonts w:asciiTheme="majorHAnsi" w:hAnsiTheme="majorHAnsi"/>
        </w:rPr>
        <w:t>, Macdermot K, van Haelst M, Vincent-Delorme</w:t>
      </w:r>
      <w:r w:rsidRPr="00E233DD">
        <w:rPr>
          <w:rFonts w:asciiTheme="majorHAnsi" w:hAnsiTheme="majorHAnsi"/>
        </w:rPr>
        <w:t xml:space="preserve"> C</w:t>
      </w:r>
      <w:r w:rsidR="00E233DD" w:rsidRPr="00E233DD">
        <w:rPr>
          <w:rFonts w:asciiTheme="majorHAnsi" w:hAnsiTheme="majorHAnsi"/>
        </w:rPr>
        <w:t>, Plessis</w:t>
      </w:r>
      <w:r w:rsidRPr="00E233DD">
        <w:rPr>
          <w:rFonts w:asciiTheme="majorHAnsi" w:hAnsiTheme="majorHAnsi"/>
        </w:rPr>
        <w:t xml:space="preserve"> G</w:t>
      </w:r>
      <w:r w:rsidR="00E233DD" w:rsidRPr="00E233DD">
        <w:rPr>
          <w:rFonts w:asciiTheme="majorHAnsi" w:hAnsiTheme="majorHAnsi"/>
        </w:rPr>
        <w:t>, Touraine</w:t>
      </w:r>
      <w:r w:rsidRPr="00E233DD">
        <w:rPr>
          <w:rFonts w:asciiTheme="majorHAnsi" w:hAnsiTheme="majorHAnsi"/>
        </w:rPr>
        <w:t xml:space="preserve"> R</w:t>
      </w:r>
      <w:r w:rsidR="00E233DD" w:rsidRPr="00E233DD">
        <w:rPr>
          <w:rFonts w:asciiTheme="majorHAnsi" w:hAnsiTheme="majorHAnsi"/>
        </w:rPr>
        <w:t>, Philippe</w:t>
      </w:r>
      <w:r w:rsidRPr="00E233DD">
        <w:rPr>
          <w:rFonts w:asciiTheme="majorHAnsi" w:hAnsiTheme="majorHAnsi"/>
        </w:rPr>
        <w:t xml:space="preserve"> A</w:t>
      </w:r>
      <w:r w:rsidR="00E233DD" w:rsidRPr="00E233DD">
        <w:rPr>
          <w:rFonts w:asciiTheme="majorHAnsi" w:hAnsiTheme="majorHAnsi"/>
        </w:rPr>
        <w:t>, Malan</w:t>
      </w:r>
      <w:r w:rsidRPr="00E233DD">
        <w:rPr>
          <w:rFonts w:asciiTheme="majorHAnsi" w:hAnsiTheme="majorHAnsi"/>
        </w:rPr>
        <w:t xml:space="preserve"> V</w:t>
      </w:r>
      <w:r w:rsidR="00E233DD" w:rsidRPr="00E233DD">
        <w:rPr>
          <w:rFonts w:asciiTheme="majorHAnsi" w:hAnsiTheme="majorHAnsi"/>
        </w:rPr>
        <w:t>, Mathieu-Dramard</w:t>
      </w:r>
      <w:r w:rsidRPr="00E233DD">
        <w:rPr>
          <w:rFonts w:asciiTheme="majorHAnsi" w:hAnsiTheme="majorHAnsi"/>
        </w:rPr>
        <w:t xml:space="preserve"> M</w:t>
      </w:r>
      <w:r w:rsidR="00E233DD" w:rsidRPr="00E233DD">
        <w:rPr>
          <w:rFonts w:asciiTheme="majorHAnsi" w:hAnsiTheme="majorHAnsi"/>
        </w:rPr>
        <w:t>, Chiesa</w:t>
      </w:r>
      <w:r w:rsidRPr="00E233DD">
        <w:rPr>
          <w:rFonts w:asciiTheme="majorHAnsi" w:hAnsiTheme="majorHAnsi"/>
        </w:rPr>
        <w:t xml:space="preserve"> J</w:t>
      </w:r>
      <w:r w:rsidR="00E233DD" w:rsidRPr="00E233DD">
        <w:rPr>
          <w:rFonts w:asciiTheme="majorHAnsi" w:hAnsiTheme="majorHAnsi"/>
        </w:rPr>
        <w:t>, Blaumeiser</w:t>
      </w:r>
      <w:r w:rsidRPr="00E233DD">
        <w:rPr>
          <w:rFonts w:asciiTheme="majorHAnsi" w:hAnsiTheme="majorHAnsi"/>
        </w:rPr>
        <w:t xml:space="preserve"> B</w:t>
      </w:r>
      <w:r w:rsidR="00E233DD" w:rsidRPr="00E233DD">
        <w:rPr>
          <w:rFonts w:asciiTheme="majorHAnsi" w:hAnsiTheme="majorHAnsi"/>
        </w:rPr>
        <w:t>, Kooy R, Caiazzo</w:t>
      </w:r>
      <w:r w:rsidRPr="00E233DD">
        <w:rPr>
          <w:rFonts w:asciiTheme="majorHAnsi" w:hAnsiTheme="majorHAnsi"/>
        </w:rPr>
        <w:t xml:space="preserve"> R</w:t>
      </w:r>
      <w:r w:rsidR="00E233DD" w:rsidRPr="00E233DD">
        <w:rPr>
          <w:rFonts w:asciiTheme="majorHAnsi" w:hAnsiTheme="majorHAnsi"/>
        </w:rPr>
        <w:t>, Pigeyre</w:t>
      </w:r>
      <w:r w:rsidRPr="00E233DD">
        <w:rPr>
          <w:rFonts w:asciiTheme="majorHAnsi" w:hAnsiTheme="majorHAnsi"/>
        </w:rPr>
        <w:t xml:space="preserve"> M</w:t>
      </w:r>
      <w:r w:rsidR="00E233DD" w:rsidRPr="00E233DD">
        <w:rPr>
          <w:rFonts w:asciiTheme="majorHAnsi" w:hAnsiTheme="majorHAnsi"/>
        </w:rPr>
        <w:t>, Balkau</w:t>
      </w:r>
      <w:r w:rsidRPr="00E233DD">
        <w:rPr>
          <w:rFonts w:asciiTheme="majorHAnsi" w:hAnsiTheme="majorHAnsi"/>
        </w:rPr>
        <w:t xml:space="preserve"> B</w:t>
      </w:r>
      <w:r w:rsidR="00E233DD" w:rsidRPr="00E233DD">
        <w:rPr>
          <w:rFonts w:asciiTheme="majorHAnsi" w:hAnsiTheme="majorHAnsi"/>
        </w:rPr>
        <w:t>, Sladek</w:t>
      </w:r>
      <w:r w:rsidRPr="00E233DD">
        <w:rPr>
          <w:rFonts w:asciiTheme="majorHAnsi" w:hAnsiTheme="majorHAnsi"/>
        </w:rPr>
        <w:t xml:space="preserve"> R</w:t>
      </w:r>
      <w:r w:rsidR="00E233DD" w:rsidRPr="00E233DD">
        <w:rPr>
          <w:rFonts w:asciiTheme="majorHAnsi" w:hAnsiTheme="majorHAnsi"/>
        </w:rPr>
        <w:t>, Bergmann</w:t>
      </w:r>
      <w:r w:rsidRPr="00E233DD">
        <w:rPr>
          <w:rFonts w:asciiTheme="majorHAnsi" w:hAnsiTheme="majorHAnsi"/>
        </w:rPr>
        <w:t xml:space="preserve"> S</w:t>
      </w:r>
      <w:r w:rsidR="00E233DD" w:rsidRPr="00E233DD">
        <w:rPr>
          <w:rFonts w:asciiTheme="majorHAnsi" w:hAnsiTheme="majorHAnsi"/>
        </w:rPr>
        <w:t>, Mooser</w:t>
      </w:r>
      <w:r w:rsidRPr="00E233DD">
        <w:rPr>
          <w:rFonts w:asciiTheme="majorHAnsi" w:hAnsiTheme="majorHAnsi"/>
        </w:rPr>
        <w:t xml:space="preserve"> V</w:t>
      </w:r>
      <w:r w:rsidR="00E233DD" w:rsidRPr="00E233DD">
        <w:rPr>
          <w:rFonts w:asciiTheme="majorHAnsi" w:hAnsiTheme="majorHAnsi"/>
        </w:rPr>
        <w:t>, Waterworth</w:t>
      </w:r>
      <w:r w:rsidRPr="00E233DD">
        <w:rPr>
          <w:rFonts w:asciiTheme="majorHAnsi" w:hAnsiTheme="majorHAnsi"/>
        </w:rPr>
        <w:t xml:space="preserve"> D</w:t>
      </w:r>
      <w:r w:rsidR="00E233DD" w:rsidRPr="00E233DD">
        <w:rPr>
          <w:rFonts w:asciiTheme="majorHAnsi" w:hAnsiTheme="majorHAnsi"/>
        </w:rPr>
        <w:t>, Reymond</w:t>
      </w:r>
      <w:r w:rsidRPr="00E233DD">
        <w:rPr>
          <w:rFonts w:asciiTheme="majorHAnsi" w:hAnsiTheme="majorHAnsi"/>
        </w:rPr>
        <w:t xml:space="preserve"> A</w:t>
      </w:r>
      <w:r w:rsidR="00E233DD" w:rsidRPr="00E233DD">
        <w:rPr>
          <w:rFonts w:asciiTheme="majorHAnsi" w:hAnsiTheme="majorHAnsi"/>
        </w:rPr>
        <w:t>, Vollenweider</w:t>
      </w:r>
      <w:r w:rsidRPr="00E233DD">
        <w:rPr>
          <w:rFonts w:asciiTheme="majorHAnsi" w:hAnsiTheme="majorHAnsi"/>
        </w:rPr>
        <w:t xml:space="preserve"> P</w:t>
      </w:r>
      <w:r w:rsidR="00E233DD" w:rsidRPr="00E233DD">
        <w:rPr>
          <w:rFonts w:asciiTheme="majorHAnsi" w:hAnsiTheme="majorHAnsi"/>
        </w:rPr>
        <w:t>, Waeber</w:t>
      </w:r>
      <w:r w:rsidRPr="00E233DD">
        <w:rPr>
          <w:rFonts w:asciiTheme="majorHAnsi" w:hAnsiTheme="majorHAnsi"/>
        </w:rPr>
        <w:t xml:space="preserve"> G</w:t>
      </w:r>
      <w:r w:rsidR="00E233DD" w:rsidRPr="00E233DD">
        <w:rPr>
          <w:rFonts w:asciiTheme="majorHAnsi" w:hAnsiTheme="majorHAnsi"/>
        </w:rPr>
        <w:t>, Kurg</w:t>
      </w:r>
      <w:r w:rsidRPr="00E233DD">
        <w:rPr>
          <w:rFonts w:asciiTheme="majorHAnsi" w:hAnsiTheme="majorHAnsi"/>
        </w:rPr>
        <w:t xml:space="preserve"> A</w:t>
      </w:r>
      <w:r w:rsidR="00E233DD" w:rsidRPr="00E233DD">
        <w:rPr>
          <w:rFonts w:asciiTheme="majorHAnsi" w:hAnsiTheme="majorHAnsi"/>
        </w:rPr>
        <w:t>, Palta</w:t>
      </w:r>
      <w:r w:rsidRPr="00E233DD">
        <w:rPr>
          <w:rFonts w:asciiTheme="majorHAnsi" w:hAnsiTheme="majorHAnsi"/>
        </w:rPr>
        <w:t xml:space="preserve"> P</w:t>
      </w:r>
      <w:r w:rsidR="00E233DD" w:rsidRPr="00E233DD">
        <w:rPr>
          <w:rFonts w:asciiTheme="majorHAnsi" w:hAnsiTheme="majorHAnsi"/>
        </w:rPr>
        <w:t>, Esko</w:t>
      </w:r>
      <w:r w:rsidRPr="00E233DD">
        <w:rPr>
          <w:rFonts w:asciiTheme="majorHAnsi" w:hAnsiTheme="majorHAnsi"/>
        </w:rPr>
        <w:t xml:space="preserve"> T</w:t>
      </w:r>
      <w:r w:rsidR="00E233DD" w:rsidRPr="00E233DD">
        <w:rPr>
          <w:rFonts w:asciiTheme="majorHAnsi" w:hAnsiTheme="majorHAnsi"/>
        </w:rPr>
        <w:t>, Metspalu</w:t>
      </w:r>
      <w:r w:rsidRPr="00E233DD">
        <w:rPr>
          <w:rFonts w:asciiTheme="majorHAnsi" w:hAnsiTheme="majorHAnsi"/>
        </w:rPr>
        <w:t xml:space="preserve"> A</w:t>
      </w:r>
      <w:r w:rsidR="00E233DD" w:rsidRPr="00E233DD">
        <w:rPr>
          <w:rFonts w:asciiTheme="majorHAnsi" w:hAnsiTheme="majorHAnsi"/>
        </w:rPr>
        <w:t>, Nelis</w:t>
      </w:r>
      <w:r w:rsidRPr="00E233DD">
        <w:rPr>
          <w:rFonts w:asciiTheme="majorHAnsi" w:hAnsiTheme="majorHAnsi"/>
        </w:rPr>
        <w:t xml:space="preserve"> M</w:t>
      </w:r>
      <w:r w:rsidR="00E233DD" w:rsidRPr="00E233DD">
        <w:rPr>
          <w:rFonts w:asciiTheme="majorHAnsi" w:hAnsiTheme="majorHAnsi"/>
        </w:rPr>
        <w:t>, Elliott</w:t>
      </w:r>
      <w:r w:rsidRPr="00E233DD">
        <w:rPr>
          <w:rFonts w:asciiTheme="majorHAnsi" w:hAnsiTheme="majorHAnsi"/>
        </w:rPr>
        <w:t xml:space="preserve"> P</w:t>
      </w:r>
      <w:r w:rsidR="00E233DD" w:rsidRPr="00E233DD">
        <w:rPr>
          <w:rFonts w:asciiTheme="majorHAnsi" w:hAnsiTheme="majorHAnsi"/>
        </w:rPr>
        <w:t>, Hartikainen</w:t>
      </w:r>
      <w:r w:rsidRPr="00E233DD">
        <w:rPr>
          <w:rFonts w:asciiTheme="majorHAnsi" w:hAnsiTheme="majorHAnsi"/>
        </w:rPr>
        <w:t xml:space="preserve"> A-L</w:t>
      </w:r>
      <w:r w:rsidR="00E233DD" w:rsidRPr="00E233DD">
        <w:rPr>
          <w:rFonts w:asciiTheme="majorHAnsi" w:hAnsiTheme="majorHAnsi"/>
        </w:rPr>
        <w:t>, McCarthy M, Peltonen</w:t>
      </w:r>
      <w:r w:rsidRPr="00E233DD">
        <w:rPr>
          <w:rFonts w:asciiTheme="majorHAnsi" w:hAnsiTheme="majorHAnsi"/>
        </w:rPr>
        <w:t xml:space="preserve"> L</w:t>
      </w:r>
      <w:r w:rsidR="00E233DD" w:rsidRPr="00E233DD">
        <w:rPr>
          <w:rFonts w:asciiTheme="majorHAnsi" w:hAnsiTheme="majorHAnsi"/>
        </w:rPr>
        <w:t>, Carlsson</w:t>
      </w:r>
      <w:r w:rsidRPr="00E233DD">
        <w:rPr>
          <w:rFonts w:asciiTheme="majorHAnsi" w:hAnsiTheme="majorHAnsi"/>
        </w:rPr>
        <w:t xml:space="preserve"> L</w:t>
      </w:r>
      <w:r w:rsidR="00E233DD" w:rsidRPr="00E233DD">
        <w:rPr>
          <w:rFonts w:asciiTheme="majorHAnsi" w:hAnsiTheme="majorHAnsi"/>
        </w:rPr>
        <w:t>, Jacobson</w:t>
      </w:r>
      <w:r w:rsidRPr="00E233DD">
        <w:rPr>
          <w:rFonts w:asciiTheme="majorHAnsi" w:hAnsiTheme="majorHAnsi"/>
        </w:rPr>
        <w:t xml:space="preserve"> P</w:t>
      </w:r>
      <w:r w:rsidR="00E233DD" w:rsidRPr="00E233DD">
        <w:rPr>
          <w:rFonts w:asciiTheme="majorHAnsi" w:hAnsiTheme="majorHAnsi"/>
        </w:rPr>
        <w:t>, Sjöström</w:t>
      </w:r>
      <w:r w:rsidRPr="00E233DD">
        <w:rPr>
          <w:rFonts w:asciiTheme="majorHAnsi" w:hAnsiTheme="majorHAnsi"/>
        </w:rPr>
        <w:t xml:space="preserve"> L</w:t>
      </w:r>
      <w:r w:rsidR="00E233DD" w:rsidRPr="00E233DD">
        <w:rPr>
          <w:rFonts w:asciiTheme="majorHAnsi" w:hAnsiTheme="majorHAnsi"/>
        </w:rPr>
        <w:t>, Huang</w:t>
      </w:r>
      <w:r w:rsidRPr="00E233DD">
        <w:rPr>
          <w:rFonts w:asciiTheme="majorHAnsi" w:hAnsiTheme="majorHAnsi"/>
        </w:rPr>
        <w:t xml:space="preserve"> N</w:t>
      </w:r>
      <w:r w:rsidR="00E233DD" w:rsidRPr="00E233DD">
        <w:rPr>
          <w:rFonts w:asciiTheme="majorHAnsi" w:hAnsiTheme="majorHAnsi"/>
        </w:rPr>
        <w:t>, Hurles M, O'Rahilly</w:t>
      </w:r>
      <w:r w:rsidRPr="00E233DD">
        <w:rPr>
          <w:rFonts w:asciiTheme="majorHAnsi" w:hAnsiTheme="majorHAnsi"/>
        </w:rPr>
        <w:t xml:space="preserve"> S</w:t>
      </w:r>
      <w:r w:rsidR="00E233DD" w:rsidRPr="00E233DD">
        <w:rPr>
          <w:rFonts w:asciiTheme="majorHAnsi" w:hAnsiTheme="majorHAnsi"/>
        </w:rPr>
        <w:t>, Farooqi I, Männik</w:t>
      </w:r>
      <w:r w:rsidRPr="00E233DD">
        <w:rPr>
          <w:rFonts w:asciiTheme="majorHAnsi" w:hAnsiTheme="majorHAnsi"/>
        </w:rPr>
        <w:t xml:space="preserve"> K</w:t>
      </w:r>
      <w:r w:rsidR="00E233DD" w:rsidRPr="00E233DD">
        <w:rPr>
          <w:rFonts w:asciiTheme="majorHAnsi" w:hAnsiTheme="majorHAnsi"/>
        </w:rPr>
        <w:t>, Jarvelin</w:t>
      </w:r>
      <w:r w:rsidRPr="00E233DD">
        <w:rPr>
          <w:rFonts w:asciiTheme="majorHAnsi" w:hAnsiTheme="majorHAnsi"/>
        </w:rPr>
        <w:t xml:space="preserve"> M-R</w:t>
      </w:r>
      <w:r w:rsidR="00E233DD" w:rsidRPr="00E233DD">
        <w:rPr>
          <w:rFonts w:asciiTheme="majorHAnsi" w:hAnsiTheme="majorHAnsi"/>
        </w:rPr>
        <w:t>, Pattou</w:t>
      </w:r>
      <w:r w:rsidRPr="00E233DD">
        <w:rPr>
          <w:rFonts w:asciiTheme="majorHAnsi" w:hAnsiTheme="majorHAnsi"/>
        </w:rPr>
        <w:t xml:space="preserve"> F</w:t>
      </w:r>
      <w:r w:rsidR="00E233DD" w:rsidRPr="00E233DD">
        <w:rPr>
          <w:rFonts w:asciiTheme="majorHAnsi" w:hAnsiTheme="majorHAnsi"/>
        </w:rPr>
        <w:t>, Meyre</w:t>
      </w:r>
      <w:r w:rsidRPr="00E233DD">
        <w:rPr>
          <w:rFonts w:asciiTheme="majorHAnsi" w:hAnsiTheme="majorHAnsi"/>
        </w:rPr>
        <w:t xml:space="preserve"> D</w:t>
      </w:r>
      <w:r w:rsidR="00E233DD" w:rsidRPr="00E233DD">
        <w:rPr>
          <w:rFonts w:asciiTheme="majorHAnsi" w:hAnsiTheme="majorHAnsi"/>
        </w:rPr>
        <w:t>, Walley A, Coin L, Blakemore A, Froguel</w:t>
      </w:r>
      <w:r w:rsidRPr="00E233DD">
        <w:rPr>
          <w:rFonts w:asciiTheme="majorHAnsi" w:hAnsiTheme="majorHAnsi"/>
        </w:rPr>
        <w:t xml:space="preserve"> P</w:t>
      </w:r>
      <w:r w:rsidR="00E233DD" w:rsidRPr="00E233DD">
        <w:rPr>
          <w:rFonts w:asciiTheme="majorHAnsi" w:hAnsiTheme="majorHAnsi"/>
        </w:rPr>
        <w:t xml:space="preserve">, Beckmann J. </w:t>
      </w:r>
      <w:r w:rsidR="00E233DD" w:rsidRPr="00E233DD">
        <w:rPr>
          <w:rFonts w:asciiTheme="majorHAnsi" w:hAnsiTheme="majorHAnsi"/>
          <w:noProof/>
        </w:rPr>
        <w:t>2010</w:t>
      </w:r>
      <w:r w:rsidR="00472B15" w:rsidRPr="00E233DD">
        <w:rPr>
          <w:rFonts w:asciiTheme="majorHAnsi" w:hAnsiTheme="majorHAnsi"/>
          <w:noProof/>
        </w:rPr>
        <w:t>. A new highly penetrant form of obesity due to deletion</w:t>
      </w:r>
      <w:r w:rsidR="00E233DD" w:rsidRPr="00E233DD">
        <w:rPr>
          <w:rFonts w:asciiTheme="majorHAnsi" w:hAnsiTheme="majorHAnsi"/>
          <w:noProof/>
        </w:rPr>
        <w:t>s on chromosome 16p11.2. Nature 463(7281):</w:t>
      </w:r>
      <w:r w:rsidR="00472B15" w:rsidRPr="00E233DD">
        <w:rPr>
          <w:rFonts w:asciiTheme="majorHAnsi" w:hAnsiTheme="majorHAnsi"/>
          <w:noProof/>
        </w:rPr>
        <w:t xml:space="preserve"> 671–675.</w:t>
      </w:r>
    </w:p>
    <w:p w:rsidR="00BD0108" w:rsidRPr="00436307" w:rsidRDefault="00BD0108" w:rsidP="00BD0108">
      <w:pPr>
        <w:pStyle w:val="NormalWeb"/>
        <w:spacing w:line="480" w:lineRule="auto"/>
        <w:ind w:left="480" w:hanging="480"/>
        <w:rPr>
          <w:rFonts w:ascii="Cambria" w:hAnsi="Cambria"/>
          <w:noProof/>
        </w:rPr>
      </w:pPr>
      <w:r w:rsidRPr="00436307">
        <w:rPr>
          <w:rFonts w:ascii="Cambria" w:hAnsi="Cambria"/>
          <w:noProof/>
        </w:rPr>
        <w:lastRenderedPageBreak/>
        <w:t>Walz</w:t>
      </w:r>
      <w:r>
        <w:rPr>
          <w:rFonts w:ascii="Cambria" w:hAnsi="Cambria"/>
          <w:noProof/>
        </w:rPr>
        <w:t xml:space="preserve"> NC &amp; Benson B</w:t>
      </w:r>
      <w:r w:rsidRPr="00436307">
        <w:rPr>
          <w:rFonts w:ascii="Cambria" w:hAnsi="Cambria"/>
          <w:noProof/>
        </w:rPr>
        <w:t>A.</w:t>
      </w:r>
      <w:r>
        <w:rPr>
          <w:rFonts w:ascii="Cambria" w:hAnsi="Cambria"/>
          <w:noProof/>
        </w:rPr>
        <w:t xml:space="preserve"> 2002</w:t>
      </w:r>
      <w:r w:rsidRPr="00436307">
        <w:rPr>
          <w:rFonts w:ascii="Cambria" w:hAnsi="Cambria"/>
          <w:noProof/>
        </w:rPr>
        <w:t>. Behavioral Phenotypes in Children With Down S</w:t>
      </w:r>
      <w:r>
        <w:rPr>
          <w:rFonts w:ascii="Cambria" w:hAnsi="Cambria"/>
          <w:noProof/>
        </w:rPr>
        <w:t xml:space="preserve">yndrome , Prader-Willi Syndrome or Angelman Syndrome. Journal of Developmental and Physical Disabilities. </w:t>
      </w:r>
      <w:r w:rsidRPr="008B7FE5">
        <w:rPr>
          <w:rFonts w:ascii="Cambria" w:hAnsi="Cambria"/>
          <w:iCs/>
          <w:noProof/>
        </w:rPr>
        <w:t>14</w:t>
      </w:r>
      <w:r>
        <w:rPr>
          <w:rFonts w:ascii="Cambria" w:hAnsi="Cambria"/>
          <w:noProof/>
        </w:rPr>
        <w:t>(4):</w:t>
      </w:r>
      <w:r w:rsidRPr="00436307">
        <w:rPr>
          <w:rFonts w:ascii="Cambria" w:hAnsi="Cambria"/>
          <w:noProof/>
        </w:rPr>
        <w:t xml:space="preserve"> 307–321.</w:t>
      </w:r>
    </w:p>
    <w:p w:rsidR="00255502" w:rsidRDefault="00BD0108" w:rsidP="000157C4">
      <w:pPr>
        <w:pStyle w:val="NormalWeb"/>
        <w:spacing w:line="480" w:lineRule="auto"/>
        <w:ind w:left="480" w:hanging="480"/>
        <w:rPr>
          <w:rFonts w:ascii="Cambria" w:hAnsi="Cambria"/>
          <w:noProof/>
        </w:rPr>
      </w:pPr>
      <w:r>
        <w:rPr>
          <w:rFonts w:ascii="Cambria" w:hAnsi="Cambria"/>
          <w:noProof/>
        </w:rPr>
        <w:t>Whittington J &amp; Holland A. 2010</w:t>
      </w:r>
      <w:r w:rsidRPr="00436307">
        <w:rPr>
          <w:rFonts w:ascii="Cambria" w:hAnsi="Cambria"/>
          <w:noProof/>
        </w:rPr>
        <w:t xml:space="preserve">. Neurobehavioral phenotype in Prader-Willi syndrome. </w:t>
      </w:r>
      <w:r w:rsidRPr="00AA377A">
        <w:rPr>
          <w:rFonts w:ascii="Cambria" w:hAnsi="Cambria"/>
          <w:iCs/>
          <w:noProof/>
        </w:rPr>
        <w:t>American Journal Of Medical Genetics Part C 154C</w:t>
      </w:r>
      <w:r>
        <w:rPr>
          <w:rFonts w:ascii="Cambria" w:hAnsi="Cambria"/>
          <w:noProof/>
        </w:rPr>
        <w:t>(4):</w:t>
      </w:r>
      <w:r w:rsidRPr="00436307">
        <w:rPr>
          <w:rFonts w:ascii="Cambria" w:hAnsi="Cambria"/>
          <w:noProof/>
        </w:rPr>
        <w:t xml:space="preserve"> 438–447. </w:t>
      </w:r>
      <w:r w:rsidR="00255502">
        <w:rPr>
          <w:rFonts w:ascii="Cambria" w:hAnsi="Cambria"/>
          <w:noProof/>
        </w:rPr>
        <w:br w:type="page"/>
      </w:r>
    </w:p>
    <w:p w:rsidR="00255502" w:rsidRDefault="00255502" w:rsidP="00255502">
      <w:pPr>
        <w:pStyle w:val="NormalWeb"/>
        <w:spacing w:line="480" w:lineRule="auto"/>
        <w:ind w:left="480" w:hanging="480"/>
        <w:jc w:val="center"/>
        <w:rPr>
          <w:rFonts w:ascii="Cambria" w:hAnsi="Cambria" w:cs="Cambria"/>
          <w:lang w:val="en"/>
        </w:rPr>
      </w:pPr>
      <w:r>
        <w:rPr>
          <w:rFonts w:ascii="Cambria" w:hAnsi="Cambria" w:cs="Cambria"/>
          <w:b/>
          <w:lang w:val="en"/>
        </w:rPr>
        <w:lastRenderedPageBreak/>
        <w:t>FIGURE LEGENDS</w:t>
      </w:r>
    </w:p>
    <w:p w:rsidR="00255502" w:rsidRDefault="00255502" w:rsidP="00255502">
      <w:pPr>
        <w:spacing w:line="480" w:lineRule="auto"/>
        <w:rPr>
          <w:rFonts w:asciiTheme="majorHAnsi" w:hAnsiTheme="majorHAnsi"/>
        </w:rPr>
      </w:pPr>
      <w:r w:rsidRPr="004F72CD">
        <w:rPr>
          <w:rFonts w:ascii="Cambria" w:hAnsi="Cambria" w:cs="Cambria"/>
          <w:b/>
          <w:lang w:val="en"/>
        </w:rPr>
        <w:t>Figure 1.</w:t>
      </w:r>
      <w:r>
        <w:rPr>
          <w:rFonts w:ascii="Cambria" w:hAnsi="Cambria" w:cs="Cambria"/>
          <w:lang w:val="en"/>
        </w:rPr>
        <w:t xml:space="preserve"> </w:t>
      </w:r>
      <w:r w:rsidRPr="00F8201D">
        <w:rPr>
          <w:rFonts w:asciiTheme="majorHAnsi" w:hAnsiTheme="majorHAnsi"/>
        </w:rPr>
        <w:t>Mean scores of syndrome groups on subscales of the Food Related Problems Questionnaire.</w:t>
      </w:r>
    </w:p>
    <w:p w:rsidR="00255502" w:rsidRPr="00F8201D" w:rsidRDefault="00255502" w:rsidP="00255502">
      <w:pPr>
        <w:spacing w:line="480" w:lineRule="auto"/>
        <w:rPr>
          <w:rFonts w:asciiTheme="majorHAnsi" w:hAnsiTheme="majorHAnsi"/>
        </w:rPr>
      </w:pPr>
    </w:p>
    <w:p w:rsidR="00255502" w:rsidRDefault="00255502" w:rsidP="00255502">
      <w:pPr>
        <w:spacing w:line="480" w:lineRule="auto"/>
        <w:rPr>
          <w:rFonts w:ascii="Cambria" w:hAnsi="Cambria"/>
        </w:rPr>
      </w:pPr>
      <w:r w:rsidRPr="00515581">
        <w:rPr>
          <w:rFonts w:asciiTheme="majorHAnsi" w:eastAsia="BatangChe" w:hAnsiTheme="majorHAnsi"/>
          <w:b/>
        </w:rPr>
        <w:t>Figure 2.</w:t>
      </w:r>
      <w:r>
        <w:rPr>
          <w:rFonts w:asciiTheme="majorHAnsi" w:eastAsia="BatangChe" w:hAnsiTheme="majorHAnsi"/>
        </w:rPr>
        <w:t xml:space="preserve"> </w:t>
      </w:r>
      <w:r>
        <w:rPr>
          <w:rFonts w:ascii="Cambria" w:hAnsi="Cambria"/>
        </w:rPr>
        <w:t>Percentage of participants scoring at or above the 50</w:t>
      </w:r>
      <w:r w:rsidRPr="00116586">
        <w:rPr>
          <w:rFonts w:ascii="Cambria" w:hAnsi="Cambria"/>
          <w:vertAlign w:val="superscript"/>
        </w:rPr>
        <w:t>th</w:t>
      </w:r>
      <w:r>
        <w:rPr>
          <w:rFonts w:ascii="Cambria" w:hAnsi="Cambria"/>
        </w:rPr>
        <w:t xml:space="preserve"> percentile of scores attained by individuals with Prader-Willi syndrome on subscales of the FRPQ.</w:t>
      </w:r>
    </w:p>
    <w:p w:rsidR="006131D4" w:rsidRDefault="006131D4" w:rsidP="006131D4">
      <w:pPr>
        <w:jc w:val="center"/>
        <w:rPr>
          <w:b/>
        </w:rPr>
      </w:pPr>
    </w:p>
    <w:p w:rsidR="006131D4" w:rsidRDefault="006131D4">
      <w:pPr>
        <w:spacing w:after="200" w:line="276" w:lineRule="auto"/>
        <w:rPr>
          <w:b/>
        </w:rPr>
      </w:pPr>
      <w:r>
        <w:rPr>
          <w:b/>
        </w:rPr>
        <w:br w:type="page"/>
      </w:r>
    </w:p>
    <w:p w:rsidR="006131D4" w:rsidRPr="00001B36" w:rsidRDefault="006131D4" w:rsidP="006131D4">
      <w:pPr>
        <w:jc w:val="center"/>
        <w:rPr>
          <w:b/>
        </w:rPr>
      </w:pPr>
      <w:bookmarkStart w:id="0" w:name="_GoBack"/>
      <w:bookmarkEnd w:id="0"/>
      <w:r>
        <w:rPr>
          <w:b/>
        </w:rPr>
        <w:lastRenderedPageBreak/>
        <w:t>FIGURES</w:t>
      </w:r>
    </w:p>
    <w:p w:rsidR="006131D4" w:rsidRDefault="006131D4" w:rsidP="006131D4"/>
    <w:p w:rsidR="006131D4" w:rsidRDefault="006131D4" w:rsidP="006131D4"/>
    <w:p w:rsidR="006131D4" w:rsidRDefault="006131D4" w:rsidP="006131D4"/>
    <w:p w:rsidR="006131D4" w:rsidRPr="00DC483A" w:rsidRDefault="006131D4" w:rsidP="006131D4">
      <w:pPr>
        <w:rPr>
          <w:b/>
        </w:rPr>
      </w:pPr>
      <w:r w:rsidRPr="00DC483A">
        <w:rPr>
          <w:b/>
        </w:rPr>
        <w:t xml:space="preserve">Figure 1. </w:t>
      </w:r>
    </w:p>
    <w:p w:rsidR="006131D4" w:rsidRDefault="006131D4" w:rsidP="006131D4"/>
    <w:p w:rsidR="006131D4" w:rsidRDefault="006131D4" w:rsidP="006131D4">
      <w:r>
        <w:rPr>
          <w:noProof/>
        </w:rPr>
        <mc:AlternateContent>
          <mc:Choice Requires="wps">
            <w:drawing>
              <wp:anchor distT="0" distB="0" distL="114300" distR="114300" simplePos="0" relativeHeight="251664384" behindDoc="0" locked="0" layoutInCell="1" allowOverlap="1" wp14:anchorId="131A2495" wp14:editId="6CFA12FD">
                <wp:simplePos x="0" y="0"/>
                <wp:positionH relativeFrom="column">
                  <wp:posOffset>913130</wp:posOffset>
                </wp:positionH>
                <wp:positionV relativeFrom="paragraph">
                  <wp:posOffset>5505450</wp:posOffset>
                </wp:positionV>
                <wp:extent cx="295275" cy="247650"/>
                <wp:effectExtent l="0" t="0" r="9525"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noFill/>
                          <a:miter lim="800000"/>
                          <a:headEnd/>
                          <a:tailEnd/>
                        </a:ln>
                      </wps:spPr>
                      <wps:txbx>
                        <w:txbxContent>
                          <w:p w:rsidR="006131D4" w:rsidRPr="00787AF8" w:rsidRDefault="006131D4" w:rsidP="006131D4">
                            <w:pPr>
                              <w:rPr>
                                <w:sz w:val="28"/>
                                <w:szCs w:val="28"/>
                              </w:rPr>
                            </w:pPr>
                            <w:r w:rsidRPr="00787AF8">
                              <w:rPr>
                                <w:sz w:val="28"/>
                                <w:szCs w:val="28"/>
                              </w:rPr>
                              <w:t>*</w:t>
                            </w:r>
                            <w:sdt>
                              <w:sdtPr>
                                <w:rPr>
                                  <w:sz w:val="28"/>
                                  <w:szCs w:val="28"/>
                                </w:rPr>
                                <w:id w:val="214008586"/>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9pt;margin-top:433.5pt;width:23.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" stroked="f">
                <v:textbox>
                  <w:txbxContent>
                    <w:p w:rsidR="006131D4" w:rsidRPr="00787AF8" w:rsidRDefault="006131D4" w:rsidP="006131D4">
                      <w:pPr>
                        <w:rPr>
                          <w:sz w:val="28"/>
                          <w:szCs w:val="28"/>
                        </w:rPr>
                      </w:pPr>
                      <w:r w:rsidRPr="00787AF8">
                        <w:rPr>
                          <w:sz w:val="28"/>
                          <w:szCs w:val="28"/>
                        </w:rPr>
                        <w:t>*</w:t>
                      </w:r>
                      <w:sdt>
                        <w:sdtPr>
                          <w:rPr>
                            <w:sz w:val="28"/>
                            <w:szCs w:val="28"/>
                          </w:rPr>
                          <w:id w:val="214008586"/>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B760DB" wp14:editId="260B8F72">
                <wp:simplePos x="0" y="0"/>
                <wp:positionH relativeFrom="column">
                  <wp:posOffset>2046605</wp:posOffset>
                </wp:positionH>
                <wp:positionV relativeFrom="paragraph">
                  <wp:posOffset>4667250</wp:posOffset>
                </wp:positionV>
                <wp:extent cx="295275" cy="247650"/>
                <wp:effectExtent l="0" t="0" r="952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noFill/>
                          <a:miter lim="800000"/>
                          <a:headEnd/>
                          <a:tailEnd/>
                        </a:ln>
                      </wps:spPr>
                      <wps:txbx>
                        <w:txbxContent>
                          <w:p w:rsidR="006131D4" w:rsidRPr="00787AF8" w:rsidRDefault="006131D4" w:rsidP="006131D4">
                            <w:pPr>
                              <w:rPr>
                                <w:sz w:val="28"/>
                                <w:szCs w:val="28"/>
                              </w:rPr>
                            </w:pPr>
                            <w:r w:rsidRPr="00787AF8">
                              <w:rPr>
                                <w:sz w:val="28"/>
                                <w:szCs w:val="28"/>
                              </w:rPr>
                              <w:t>*</w:t>
                            </w:r>
                            <w:sdt>
                              <w:sdtPr>
                                <w:rPr>
                                  <w:sz w:val="28"/>
                                  <w:szCs w:val="28"/>
                                </w:rPr>
                                <w:id w:val="-1784648523"/>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1.15pt;margin-top:367.5pt;width:23.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" stroked="f">
                <v:textbox>
                  <w:txbxContent>
                    <w:p w:rsidR="006131D4" w:rsidRPr="00787AF8" w:rsidRDefault="006131D4" w:rsidP="006131D4">
                      <w:pPr>
                        <w:rPr>
                          <w:sz w:val="28"/>
                          <w:szCs w:val="28"/>
                        </w:rPr>
                      </w:pPr>
                      <w:r w:rsidRPr="00787AF8">
                        <w:rPr>
                          <w:sz w:val="28"/>
                          <w:szCs w:val="28"/>
                        </w:rPr>
                        <w:t>*</w:t>
                      </w:r>
                      <w:sdt>
                        <w:sdtPr>
                          <w:rPr>
                            <w:sz w:val="28"/>
                            <w:szCs w:val="28"/>
                          </w:rPr>
                          <w:id w:val="-1784648523"/>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48AD2BF" wp14:editId="7CC3A40D">
                <wp:simplePos x="0" y="0"/>
                <wp:positionH relativeFrom="column">
                  <wp:posOffset>4025265</wp:posOffset>
                </wp:positionH>
                <wp:positionV relativeFrom="paragraph">
                  <wp:posOffset>191770</wp:posOffset>
                </wp:positionV>
                <wp:extent cx="1799590" cy="707390"/>
                <wp:effectExtent l="0" t="0" r="0" b="0"/>
                <wp:wrapNone/>
                <wp:docPr id="41" name="TextBox 9"/>
                <wp:cNvGraphicFramePr/>
                <a:graphic xmlns:a="http://schemas.openxmlformats.org/drawingml/2006/main">
                  <a:graphicData uri="http://schemas.microsoft.com/office/word/2010/wordprocessingShape">
                    <wps:wsp>
                      <wps:cNvSpPr txBox="1"/>
                      <wps:spPr>
                        <a:xfrm>
                          <a:off x="0" y="0"/>
                          <a:ext cx="1799590" cy="707390"/>
                        </a:xfrm>
                        <a:prstGeom prst="rect">
                          <a:avLst/>
                        </a:prstGeom>
                        <a:noFill/>
                      </wps:spPr>
                      <wps:txbx>
                        <w:txbxContent>
                          <w:p w:rsidR="006131D4" w:rsidRDefault="006131D4" w:rsidP="006131D4">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2"/>
                                <w:szCs w:val="22"/>
                              </w:rPr>
                              <w:t>significantly exceeds score in one or more other syndrome group</w:t>
                            </w:r>
                          </w:p>
                        </w:txbxContent>
                      </wps:txbx>
                      <wps:bodyPr wrap="square" rtlCol="0">
                        <a:spAutoFit/>
                      </wps:bodyPr>
                    </wps:wsp>
                  </a:graphicData>
                </a:graphic>
              </wp:anchor>
            </w:drawing>
          </mc:Choice>
          <mc:Fallback>
            <w:pict>
              <v:shape id="TextBox 9" o:spid="_x0000_s1028" type="#_x0000_t202" style="position:absolute;margin-left:316.95pt;margin-top:15.1pt;width:141.7pt;height:5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" filled="f" stroked="f">
                <v:textbox style="mso-fit-shape-to-text:t">
                  <w:txbxContent>
                    <w:p w:rsidR="006131D4" w:rsidRDefault="006131D4" w:rsidP="006131D4">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2"/>
                          <w:szCs w:val="22"/>
                        </w:rPr>
                        <w:t>significantly exceeds score in one or more other syndrome group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798F8A" wp14:editId="6A8494E5">
                <wp:simplePos x="0" y="0"/>
                <wp:positionH relativeFrom="column">
                  <wp:posOffset>913130</wp:posOffset>
                </wp:positionH>
                <wp:positionV relativeFrom="paragraph">
                  <wp:posOffset>171450</wp:posOffset>
                </wp:positionV>
                <wp:extent cx="29527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noFill/>
                          <a:miter lim="800000"/>
                          <a:headEnd/>
                          <a:tailEnd/>
                        </a:ln>
                      </wps:spPr>
                      <wps:txbx>
                        <w:txbxContent>
                          <w:p w:rsidR="006131D4" w:rsidRPr="00787AF8" w:rsidRDefault="006131D4" w:rsidP="006131D4">
                            <w:pPr>
                              <w:rPr>
                                <w:sz w:val="28"/>
                                <w:szCs w:val="28"/>
                              </w:rPr>
                            </w:pPr>
                            <w:r w:rsidRPr="00787AF8">
                              <w:rPr>
                                <w:sz w:val="28"/>
                                <w:szCs w:val="28"/>
                              </w:rPr>
                              <w:t>*</w:t>
                            </w:r>
                            <w:sdt>
                              <w:sdtPr>
                                <w:rPr>
                                  <w:sz w:val="28"/>
                                  <w:szCs w:val="28"/>
                                </w:rPr>
                                <w:id w:val="568603642"/>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1.9pt;margin-top:13.5pt;width:2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" stroked="f">
                <v:textbox>
                  <w:txbxContent>
                    <w:p w:rsidR="006131D4" w:rsidRPr="00787AF8" w:rsidRDefault="006131D4" w:rsidP="006131D4">
                      <w:pPr>
                        <w:rPr>
                          <w:sz w:val="28"/>
                          <w:szCs w:val="28"/>
                        </w:rPr>
                      </w:pPr>
                      <w:r w:rsidRPr="00787AF8">
                        <w:rPr>
                          <w:sz w:val="28"/>
                          <w:szCs w:val="28"/>
                        </w:rPr>
                        <w:t>*</w:t>
                      </w:r>
                      <w:sdt>
                        <w:sdtPr>
                          <w:rPr>
                            <w:sz w:val="28"/>
                            <w:szCs w:val="28"/>
                          </w:rPr>
                          <w:id w:val="568603642"/>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510774" wp14:editId="6E97ED6A">
                <wp:simplePos x="0" y="0"/>
                <wp:positionH relativeFrom="column">
                  <wp:posOffset>2046605</wp:posOffset>
                </wp:positionH>
                <wp:positionV relativeFrom="paragraph">
                  <wp:posOffset>590550</wp:posOffset>
                </wp:positionV>
                <wp:extent cx="295275" cy="247650"/>
                <wp:effectExtent l="0" t="0" r="952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noFill/>
                          <a:miter lim="800000"/>
                          <a:headEnd/>
                          <a:tailEnd/>
                        </a:ln>
                      </wps:spPr>
                      <wps:txbx>
                        <w:txbxContent>
                          <w:p w:rsidR="006131D4" w:rsidRPr="00787AF8" w:rsidRDefault="006131D4" w:rsidP="006131D4">
                            <w:pPr>
                              <w:rPr>
                                <w:sz w:val="28"/>
                                <w:szCs w:val="28"/>
                              </w:rPr>
                            </w:pPr>
                            <w:r w:rsidRPr="00787AF8">
                              <w:rPr>
                                <w:sz w:val="28"/>
                                <w:szCs w:val="28"/>
                              </w:rPr>
                              <w:t>*</w:t>
                            </w:r>
                            <w:sdt>
                              <w:sdtPr>
                                <w:rPr>
                                  <w:sz w:val="28"/>
                                  <w:szCs w:val="28"/>
                                </w:rPr>
                                <w:id w:val="-1835604110"/>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1.15pt;margin-top:46.5pt;width:23.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" stroked="f">
                <v:textbox>
                  <w:txbxContent>
                    <w:p w:rsidR="006131D4" w:rsidRPr="00787AF8" w:rsidRDefault="006131D4" w:rsidP="006131D4">
                      <w:pPr>
                        <w:rPr>
                          <w:sz w:val="28"/>
                          <w:szCs w:val="28"/>
                        </w:rPr>
                      </w:pPr>
                      <w:r w:rsidRPr="00787AF8">
                        <w:rPr>
                          <w:sz w:val="28"/>
                          <w:szCs w:val="28"/>
                        </w:rPr>
                        <w:t>*</w:t>
                      </w:r>
                      <w:sdt>
                        <w:sdtPr>
                          <w:rPr>
                            <w:sz w:val="28"/>
                            <w:szCs w:val="28"/>
                          </w:rPr>
                          <w:id w:val="-1835604110"/>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57BFA83" wp14:editId="104648F0">
                <wp:simplePos x="0" y="0"/>
                <wp:positionH relativeFrom="column">
                  <wp:posOffset>3370580</wp:posOffset>
                </wp:positionH>
                <wp:positionV relativeFrom="paragraph">
                  <wp:posOffset>1724025</wp:posOffset>
                </wp:positionV>
                <wp:extent cx="295275" cy="247650"/>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noFill/>
                          <a:miter lim="800000"/>
                          <a:headEnd/>
                          <a:tailEnd/>
                        </a:ln>
                      </wps:spPr>
                      <wps:txbx>
                        <w:txbxContent>
                          <w:p w:rsidR="006131D4" w:rsidRPr="00787AF8" w:rsidRDefault="006131D4" w:rsidP="006131D4">
                            <w:pPr>
                              <w:rPr>
                                <w:sz w:val="28"/>
                                <w:szCs w:val="28"/>
                              </w:rPr>
                            </w:pPr>
                            <w:r w:rsidRPr="00787AF8">
                              <w:rPr>
                                <w:sz w:val="28"/>
                                <w:szCs w:val="28"/>
                              </w:rPr>
                              <w:t>*</w:t>
                            </w:r>
                            <w:sdt>
                              <w:sdtPr>
                                <w:rPr>
                                  <w:sz w:val="28"/>
                                  <w:szCs w:val="28"/>
                                </w:rPr>
                                <w:id w:val="-461579965"/>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5.4pt;margin-top:135.75pt;width:2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" stroked="f">
                <v:textbox>
                  <w:txbxContent>
                    <w:p w:rsidR="006131D4" w:rsidRPr="00787AF8" w:rsidRDefault="006131D4" w:rsidP="006131D4">
                      <w:pPr>
                        <w:rPr>
                          <w:sz w:val="28"/>
                          <w:szCs w:val="28"/>
                        </w:rPr>
                      </w:pPr>
                      <w:r w:rsidRPr="00787AF8">
                        <w:rPr>
                          <w:sz w:val="28"/>
                          <w:szCs w:val="28"/>
                        </w:rPr>
                        <w:t>*</w:t>
                      </w:r>
                      <w:sdt>
                        <w:sdtPr>
                          <w:rPr>
                            <w:sz w:val="28"/>
                            <w:szCs w:val="28"/>
                          </w:rPr>
                          <w:id w:val="-461579965"/>
                          <w:temporary/>
                          <w:showingPlcHdr/>
                        </w:sdtPr>
                        <w:sdtContent>
                          <w:r w:rsidRPr="00787AF8">
                            <w:rPr>
                              <w:sz w:val="28"/>
                              <w:szCs w:val="28"/>
                            </w:rP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Pr>
          <w:noProof/>
        </w:rPr>
        <w:drawing>
          <wp:inline distT="0" distB="0" distL="0" distR="0" wp14:anchorId="7368CE64" wp14:editId="16C2BCCE">
            <wp:extent cx="5943600" cy="381127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47D1E2A8" wp14:editId="59F12D3B">
            <wp:extent cx="5943600" cy="39306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31D4" w:rsidRDefault="006131D4" w:rsidP="006131D4">
      <w:pPr>
        <w:sectPr w:rsidR="006131D4" w:rsidSect="00787AF8">
          <w:headerReference w:type="default" r:id="rId12"/>
          <w:pgSz w:w="11906" w:h="16838"/>
          <w:pgMar w:top="1440" w:right="1440" w:bottom="1440" w:left="1440" w:header="708" w:footer="708" w:gutter="0"/>
          <w:cols w:space="708"/>
          <w:docGrid w:linePitch="360"/>
        </w:sectPr>
      </w:pPr>
    </w:p>
    <w:p w:rsidR="006131D4" w:rsidRDefault="006131D4" w:rsidP="006131D4">
      <w:pPr>
        <w:rPr>
          <w:rFonts w:ascii="Cambria" w:hAnsi="Cambria"/>
          <w:b/>
        </w:rPr>
      </w:pPr>
      <w:r>
        <w:rPr>
          <w:rFonts w:ascii="Cambria" w:hAnsi="Cambria"/>
          <w:b/>
        </w:rPr>
        <w:lastRenderedPageBreak/>
        <w:t>Figure 2.</w:t>
      </w:r>
    </w:p>
    <w:p w:rsidR="006131D4" w:rsidRDefault="006131D4" w:rsidP="006131D4">
      <w:pPr>
        <w:rPr>
          <w:rFonts w:ascii="Cambria" w:hAnsi="Cambria"/>
          <w:b/>
        </w:rPr>
      </w:pPr>
    </w:p>
    <w:p w:rsidR="006131D4" w:rsidRDefault="006131D4" w:rsidP="006131D4">
      <w:pPr>
        <w:rPr>
          <w:rFonts w:ascii="Cambria" w:hAnsi="Cambria"/>
          <w:b/>
        </w:rPr>
      </w:pPr>
    </w:p>
    <w:p w:rsidR="006131D4" w:rsidRDefault="006131D4" w:rsidP="006131D4">
      <w:pPr>
        <w:rPr>
          <w:rFonts w:ascii="Cambria" w:hAnsi="Cambria"/>
          <w:b/>
        </w:rPr>
      </w:pPr>
      <w:r>
        <w:rPr>
          <w:noProof/>
        </w:rPr>
        <w:drawing>
          <wp:inline distT="0" distB="0" distL="0" distR="0" wp14:anchorId="14612759" wp14:editId="6E2F3EEC">
            <wp:extent cx="5731510" cy="4407629"/>
            <wp:effectExtent l="0" t="0" r="2159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31D4" w:rsidRDefault="006131D4" w:rsidP="006131D4">
      <w:pPr>
        <w:rPr>
          <w:rFonts w:ascii="Cambria" w:hAnsi="Cambria"/>
          <w:b/>
        </w:rPr>
      </w:pPr>
    </w:p>
    <w:p w:rsidR="006131D4" w:rsidRDefault="006131D4" w:rsidP="006131D4">
      <w:pPr>
        <w:rPr>
          <w:rFonts w:ascii="Cambria" w:hAnsi="Cambria"/>
          <w:b/>
        </w:rPr>
      </w:pPr>
    </w:p>
    <w:p w:rsidR="006131D4" w:rsidRDefault="006131D4" w:rsidP="006131D4">
      <w:pPr>
        <w:rPr>
          <w:rFonts w:ascii="Cambria" w:hAnsi="Cambria"/>
          <w:b/>
        </w:rPr>
      </w:pPr>
    </w:p>
    <w:p w:rsidR="006131D4" w:rsidRDefault="006131D4" w:rsidP="006131D4">
      <w:pPr>
        <w:rPr>
          <w:rFonts w:ascii="Cambria" w:hAnsi="Cambria"/>
          <w:b/>
        </w:rPr>
      </w:pPr>
    </w:p>
    <w:p w:rsidR="006131D4" w:rsidRDefault="006131D4" w:rsidP="006131D4">
      <w:pPr>
        <w:rPr>
          <w:rFonts w:ascii="Cambria" w:hAnsi="Cambria"/>
          <w:b/>
        </w:rPr>
      </w:pPr>
    </w:p>
    <w:p w:rsidR="006131D4" w:rsidRDefault="006131D4" w:rsidP="006131D4">
      <w:pPr>
        <w:rPr>
          <w:rFonts w:ascii="Cambria" w:hAnsi="Cambria"/>
          <w:b/>
        </w:rPr>
      </w:pPr>
    </w:p>
    <w:p w:rsidR="006131D4" w:rsidRDefault="006131D4" w:rsidP="006131D4">
      <w:pPr>
        <w:rPr>
          <w:rFonts w:ascii="Cambria" w:hAnsi="Cambria"/>
          <w:b/>
        </w:rPr>
      </w:pPr>
    </w:p>
    <w:p w:rsidR="006131D4" w:rsidRDefault="006131D4" w:rsidP="006131D4">
      <w:pPr>
        <w:rPr>
          <w:rFonts w:ascii="Cambria" w:hAnsi="Cambria"/>
          <w:b/>
        </w:rPr>
      </w:pPr>
    </w:p>
    <w:p w:rsidR="006131D4" w:rsidRDefault="006131D4" w:rsidP="006131D4">
      <w:pPr>
        <w:jc w:val="center"/>
        <w:rPr>
          <w:b/>
        </w:rPr>
      </w:pPr>
    </w:p>
    <w:p w:rsidR="006131D4" w:rsidRDefault="006131D4" w:rsidP="006131D4">
      <w:pPr>
        <w:spacing w:after="200" w:line="276" w:lineRule="auto"/>
        <w:rPr>
          <w:b/>
        </w:rPr>
      </w:pPr>
    </w:p>
    <w:p w:rsidR="006131D4" w:rsidRPr="00001B36" w:rsidRDefault="006131D4" w:rsidP="006131D4">
      <w:pPr>
        <w:jc w:val="center"/>
        <w:rPr>
          <w:b/>
        </w:rPr>
      </w:pPr>
      <w:r>
        <w:rPr>
          <w:b/>
        </w:rPr>
        <w:t>TABLES</w:t>
      </w:r>
    </w:p>
    <w:tbl>
      <w:tblPr>
        <w:tblStyle w:val="TableGrid"/>
        <w:tblpPr w:leftFromText="180" w:rightFromText="180" w:horzAnchor="margin" w:tblpXSpec="center" w:tblpY="1590"/>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492"/>
        <w:gridCol w:w="2252"/>
        <w:gridCol w:w="1872"/>
        <w:gridCol w:w="1872"/>
        <w:gridCol w:w="1872"/>
      </w:tblGrid>
      <w:tr w:rsidR="006131D4" w:rsidRPr="00C27215" w:rsidTr="00447FF7">
        <w:trPr>
          <w:trHeight w:val="420"/>
        </w:trPr>
        <w:tc>
          <w:tcPr>
            <w:tcW w:w="11520" w:type="dxa"/>
            <w:gridSpan w:val="6"/>
          </w:tcPr>
          <w:p w:rsidR="006131D4" w:rsidRPr="00C27215" w:rsidRDefault="006131D4" w:rsidP="00447FF7">
            <w:pPr>
              <w:rPr>
                <w:rFonts w:ascii="Cambria" w:hAnsi="Cambria"/>
              </w:rPr>
            </w:pPr>
            <w:r>
              <w:rPr>
                <w:rFonts w:ascii="Cambria" w:hAnsi="Cambria"/>
                <w:noProof/>
              </w:rPr>
              <mc:AlternateContent>
                <mc:Choice Requires="wps">
                  <w:drawing>
                    <wp:anchor distT="4294967295" distB="4294967295" distL="114300" distR="114300" simplePos="0" relativeHeight="251666432" behindDoc="0" locked="0" layoutInCell="1" allowOverlap="1" wp14:anchorId="002AEF80" wp14:editId="0A32A2C6">
                      <wp:simplePos x="0" y="0"/>
                      <wp:positionH relativeFrom="column">
                        <wp:posOffset>-90805</wp:posOffset>
                      </wp:positionH>
                      <wp:positionV relativeFrom="paragraph">
                        <wp:posOffset>240664</wp:posOffset>
                      </wp:positionV>
                      <wp:extent cx="7388860" cy="0"/>
                      <wp:effectExtent l="0" t="0" r="21590" b="1905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8.95pt" to="574.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mmHgIAADc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"/>
                  </w:pict>
                </mc:Fallback>
              </mc:AlternateContent>
            </w:r>
            <w:r>
              <w:rPr>
                <w:rFonts w:ascii="Cambria" w:hAnsi="Cambria"/>
                <w:b/>
              </w:rPr>
              <w:t>Table I.</w:t>
            </w:r>
            <w:r>
              <w:rPr>
                <w:rFonts w:ascii="Cambria" w:hAnsi="Cambria"/>
              </w:rPr>
              <w:t xml:space="preserve"> Participant characteristics for each syndrome group</w:t>
            </w:r>
          </w:p>
        </w:tc>
      </w:tr>
      <w:tr w:rsidR="006131D4" w:rsidRPr="0096158A" w:rsidTr="00447FF7">
        <w:trPr>
          <w:trHeight w:val="420"/>
        </w:trPr>
        <w:tc>
          <w:tcPr>
            <w:tcW w:w="2160" w:type="dxa"/>
          </w:tcPr>
          <w:p w:rsidR="006131D4" w:rsidRDefault="006131D4" w:rsidP="00447FF7">
            <w:pPr>
              <w:rPr>
                <w:rFonts w:ascii="Cambria" w:hAnsi="Cambria"/>
              </w:rPr>
            </w:pPr>
            <w:r>
              <w:rPr>
                <w:rFonts w:ascii="Cambria" w:hAnsi="Cambria"/>
              </w:rPr>
              <w:t>Syndrome Group</w:t>
            </w:r>
          </w:p>
          <w:p w:rsidR="006131D4" w:rsidRPr="0096158A" w:rsidRDefault="006131D4" w:rsidP="00447FF7">
            <w:pPr>
              <w:rPr>
                <w:rFonts w:ascii="Cambria" w:hAnsi="Cambria"/>
              </w:rPr>
            </w:pPr>
            <w:r>
              <w:rPr>
                <w:rFonts w:ascii="Verdana" w:hAnsi="Verdana" w:cs="Tahoma"/>
                <w:i/>
                <w:noProof/>
                <w:color w:val="333333"/>
                <w:sz w:val="15"/>
                <w:szCs w:val="15"/>
              </w:rPr>
              <mc:AlternateContent>
                <mc:Choice Requires="wps">
                  <w:drawing>
                    <wp:anchor distT="4294967295" distB="4294967295" distL="114300" distR="114300" simplePos="0" relativeHeight="251667456" behindDoc="0" locked="0" layoutInCell="1" allowOverlap="1" wp14:anchorId="539B2BEB" wp14:editId="02F0C21D">
                      <wp:simplePos x="0" y="0"/>
                      <wp:positionH relativeFrom="column">
                        <wp:posOffset>-319405</wp:posOffset>
                      </wp:positionH>
                      <wp:positionV relativeFrom="paragraph">
                        <wp:posOffset>90804</wp:posOffset>
                      </wp:positionV>
                      <wp:extent cx="7772400" cy="0"/>
                      <wp:effectExtent l="0" t="0" r="19050" b="19050"/>
                      <wp:wrapNone/>
                      <wp:docPr id="2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pt,7.15pt" to="586.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BVHAIAADcEAAAOAAAAZHJzL2Uyb0RvYy54bWysU02P2yAQvVfqf0DcE9ups0m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"/>
                  </w:pict>
                </mc:Fallback>
              </mc:AlternateContent>
            </w:r>
          </w:p>
        </w:tc>
        <w:tc>
          <w:tcPr>
            <w:tcW w:w="1492" w:type="dxa"/>
          </w:tcPr>
          <w:p w:rsidR="006131D4" w:rsidRPr="003B7B6C" w:rsidRDefault="006131D4" w:rsidP="00447FF7">
            <w:pPr>
              <w:jc w:val="center"/>
              <w:rPr>
                <w:rFonts w:ascii="Cambria" w:hAnsi="Cambria"/>
              </w:rPr>
            </w:pPr>
            <w:r w:rsidRPr="009D2CCE">
              <w:rPr>
                <w:rFonts w:ascii="Cambria" w:hAnsi="Cambria"/>
                <w:i/>
              </w:rPr>
              <w:t>N</w:t>
            </w:r>
            <w:r w:rsidRPr="00467EAF">
              <w:rPr>
                <w:rFonts w:ascii="Cambria" w:hAnsi="Cambria"/>
                <w:i/>
                <w:vertAlign w:val="superscript"/>
              </w:rPr>
              <w:t>µ</w:t>
            </w:r>
          </w:p>
        </w:tc>
        <w:tc>
          <w:tcPr>
            <w:tcW w:w="2252" w:type="dxa"/>
          </w:tcPr>
          <w:p w:rsidR="006131D4" w:rsidRPr="003B7B6C" w:rsidRDefault="006131D4" w:rsidP="00447FF7">
            <w:pPr>
              <w:jc w:val="center"/>
              <w:rPr>
                <w:rFonts w:ascii="Cambria" w:hAnsi="Cambria"/>
              </w:rPr>
            </w:pPr>
            <w:r w:rsidRPr="003B7B6C">
              <w:rPr>
                <w:rFonts w:ascii="Cambria" w:hAnsi="Cambria"/>
              </w:rPr>
              <w:t>Mean age</w:t>
            </w:r>
            <w:r w:rsidRPr="00374CAF">
              <w:rPr>
                <w:rFonts w:ascii="Cambria" w:hAnsi="Cambria"/>
                <w:i/>
                <w:vertAlign w:val="superscript"/>
              </w:rPr>
              <w:t>β</w:t>
            </w:r>
            <w:r w:rsidRPr="003B7B6C">
              <w:rPr>
                <w:rFonts w:ascii="Cambria" w:hAnsi="Cambria"/>
              </w:rPr>
              <w:t xml:space="preserve"> (</w:t>
            </w:r>
            <w:r w:rsidRPr="009D2CCE">
              <w:rPr>
                <w:rFonts w:ascii="Cambria" w:hAnsi="Cambria"/>
                <w:i/>
              </w:rPr>
              <w:t>SD</w:t>
            </w:r>
            <w:r w:rsidRPr="003B7B6C">
              <w:rPr>
                <w:rFonts w:ascii="Cambria" w:hAnsi="Cambria"/>
              </w:rPr>
              <w:t>)</w:t>
            </w:r>
            <w:r>
              <w:rPr>
                <w:rFonts w:ascii="Cambria" w:hAnsi="Cambria"/>
              </w:rPr>
              <w:t>*</w:t>
            </w:r>
          </w:p>
        </w:tc>
        <w:tc>
          <w:tcPr>
            <w:tcW w:w="1872" w:type="dxa"/>
          </w:tcPr>
          <w:p w:rsidR="006131D4" w:rsidRPr="0096158A" w:rsidRDefault="006131D4" w:rsidP="00447FF7">
            <w:pPr>
              <w:jc w:val="center"/>
              <w:rPr>
                <w:rFonts w:ascii="Cambria" w:hAnsi="Cambria"/>
              </w:rPr>
            </w:pPr>
            <w:r>
              <w:rPr>
                <w:rFonts w:ascii="Cambria" w:hAnsi="Cambria"/>
              </w:rPr>
              <w:t>% female</w:t>
            </w:r>
            <w:r>
              <w:rPr>
                <w:rFonts w:ascii="Cambria" w:hAnsi="Cambria"/>
                <w:vertAlign w:val="superscript"/>
              </w:rPr>
              <w:t>1</w:t>
            </w:r>
          </w:p>
        </w:tc>
        <w:tc>
          <w:tcPr>
            <w:tcW w:w="1872" w:type="dxa"/>
            <w:shd w:val="clear" w:color="auto" w:fill="auto"/>
          </w:tcPr>
          <w:p w:rsidR="006131D4" w:rsidRPr="0096158A" w:rsidRDefault="006131D4" w:rsidP="00447FF7">
            <w:pPr>
              <w:jc w:val="center"/>
              <w:rPr>
                <w:rFonts w:ascii="Cambria" w:hAnsi="Cambria"/>
              </w:rPr>
            </w:pPr>
            <w:r>
              <w:rPr>
                <w:rFonts w:ascii="Cambria" w:hAnsi="Cambria"/>
              </w:rPr>
              <w:t>% mobile*</w:t>
            </w:r>
          </w:p>
        </w:tc>
        <w:tc>
          <w:tcPr>
            <w:tcW w:w="1872" w:type="dxa"/>
            <w:shd w:val="clear" w:color="auto" w:fill="auto"/>
          </w:tcPr>
          <w:p w:rsidR="006131D4" w:rsidRPr="0096158A" w:rsidRDefault="006131D4" w:rsidP="00447FF7">
            <w:pPr>
              <w:jc w:val="center"/>
              <w:rPr>
                <w:rFonts w:ascii="Cambria" w:hAnsi="Cambria"/>
              </w:rPr>
            </w:pPr>
            <w:r>
              <w:rPr>
                <w:rFonts w:ascii="Cambria" w:hAnsi="Cambria"/>
              </w:rPr>
              <w:t>% verbal*</w:t>
            </w:r>
          </w:p>
        </w:tc>
      </w:tr>
      <w:tr w:rsidR="006131D4" w:rsidRPr="0096158A" w:rsidTr="00447FF7">
        <w:tc>
          <w:tcPr>
            <w:tcW w:w="2160" w:type="dxa"/>
          </w:tcPr>
          <w:p w:rsidR="006131D4" w:rsidRPr="0096158A" w:rsidRDefault="006131D4" w:rsidP="00447FF7">
            <w:pPr>
              <w:rPr>
                <w:rFonts w:ascii="Cambria" w:hAnsi="Cambria"/>
              </w:rPr>
            </w:pPr>
            <w:r>
              <w:rPr>
                <w:rFonts w:ascii="Cambria" w:hAnsi="Cambria"/>
              </w:rPr>
              <w:t>Angelman</w:t>
            </w:r>
          </w:p>
        </w:tc>
        <w:tc>
          <w:tcPr>
            <w:tcW w:w="1492" w:type="dxa"/>
          </w:tcPr>
          <w:p w:rsidR="006131D4" w:rsidRPr="003B7B6C" w:rsidRDefault="006131D4" w:rsidP="00447FF7">
            <w:pPr>
              <w:jc w:val="center"/>
              <w:rPr>
                <w:rFonts w:ascii="Cambria" w:hAnsi="Cambria"/>
              </w:rPr>
            </w:pPr>
            <w:r w:rsidRPr="003B7B6C">
              <w:rPr>
                <w:rFonts w:ascii="Cambria" w:hAnsi="Cambria"/>
              </w:rPr>
              <w:t>35</w:t>
            </w:r>
          </w:p>
        </w:tc>
        <w:tc>
          <w:tcPr>
            <w:tcW w:w="2252" w:type="dxa"/>
          </w:tcPr>
          <w:p w:rsidR="006131D4" w:rsidRPr="00A478D7" w:rsidRDefault="006131D4" w:rsidP="00447FF7">
            <w:pPr>
              <w:jc w:val="center"/>
              <w:rPr>
                <w:rFonts w:ascii="Cambria" w:hAnsi="Cambria"/>
              </w:rPr>
            </w:pPr>
            <w:r w:rsidRPr="00A478D7">
              <w:rPr>
                <w:rFonts w:ascii="Cambria" w:hAnsi="Cambria"/>
              </w:rPr>
              <w:t>10.5 (3.3)</w:t>
            </w:r>
          </w:p>
        </w:tc>
        <w:tc>
          <w:tcPr>
            <w:tcW w:w="1872" w:type="dxa"/>
          </w:tcPr>
          <w:p w:rsidR="006131D4" w:rsidRPr="00A478D7" w:rsidRDefault="006131D4" w:rsidP="00447FF7">
            <w:pPr>
              <w:jc w:val="center"/>
              <w:rPr>
                <w:rFonts w:ascii="Cambria" w:hAnsi="Cambria"/>
              </w:rPr>
            </w:pPr>
            <w:r w:rsidRPr="00A478D7">
              <w:rPr>
                <w:rFonts w:ascii="Cambria" w:hAnsi="Cambria"/>
              </w:rPr>
              <w:t>51.4</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65.7</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2.9</w:t>
            </w:r>
          </w:p>
        </w:tc>
      </w:tr>
      <w:tr w:rsidR="006131D4" w:rsidRPr="0096158A" w:rsidTr="00447FF7">
        <w:tc>
          <w:tcPr>
            <w:tcW w:w="2160" w:type="dxa"/>
          </w:tcPr>
          <w:p w:rsidR="006131D4" w:rsidRPr="0096158A" w:rsidRDefault="006131D4" w:rsidP="00447FF7">
            <w:pPr>
              <w:rPr>
                <w:rFonts w:ascii="Cambria" w:hAnsi="Cambria"/>
              </w:rPr>
            </w:pPr>
            <w:r>
              <w:rPr>
                <w:rFonts w:ascii="Cambria" w:hAnsi="Cambria"/>
              </w:rPr>
              <w:t>Cornelia de Lange</w:t>
            </w:r>
          </w:p>
        </w:tc>
        <w:tc>
          <w:tcPr>
            <w:tcW w:w="1492" w:type="dxa"/>
          </w:tcPr>
          <w:p w:rsidR="006131D4" w:rsidRPr="003B7B6C" w:rsidRDefault="006131D4" w:rsidP="00447FF7">
            <w:pPr>
              <w:jc w:val="center"/>
              <w:rPr>
                <w:rFonts w:ascii="Cambria" w:hAnsi="Cambria"/>
              </w:rPr>
            </w:pPr>
            <w:r>
              <w:rPr>
                <w:rFonts w:ascii="Cambria" w:hAnsi="Cambria"/>
              </w:rPr>
              <w:t>32</w:t>
            </w:r>
          </w:p>
        </w:tc>
        <w:tc>
          <w:tcPr>
            <w:tcW w:w="2252" w:type="dxa"/>
          </w:tcPr>
          <w:p w:rsidR="006131D4" w:rsidRPr="00A478D7" w:rsidRDefault="006131D4" w:rsidP="00447FF7">
            <w:pPr>
              <w:jc w:val="center"/>
              <w:rPr>
                <w:rFonts w:ascii="Cambria" w:hAnsi="Cambria"/>
              </w:rPr>
            </w:pPr>
            <w:r w:rsidRPr="00A478D7">
              <w:rPr>
                <w:rFonts w:ascii="Cambria" w:hAnsi="Cambria"/>
              </w:rPr>
              <w:t>10.2 (4.0)</w:t>
            </w:r>
          </w:p>
        </w:tc>
        <w:tc>
          <w:tcPr>
            <w:tcW w:w="1872" w:type="dxa"/>
          </w:tcPr>
          <w:p w:rsidR="006131D4" w:rsidRPr="00A478D7" w:rsidRDefault="006131D4" w:rsidP="00447FF7">
            <w:pPr>
              <w:jc w:val="center"/>
              <w:rPr>
                <w:rFonts w:ascii="Cambria" w:hAnsi="Cambria"/>
              </w:rPr>
            </w:pPr>
            <w:r w:rsidRPr="00A478D7">
              <w:rPr>
                <w:rFonts w:ascii="Cambria" w:hAnsi="Cambria"/>
              </w:rPr>
              <w:t>33.3</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72.7</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36.4</w:t>
            </w:r>
          </w:p>
        </w:tc>
      </w:tr>
      <w:tr w:rsidR="006131D4" w:rsidRPr="0096158A" w:rsidTr="00447FF7">
        <w:tc>
          <w:tcPr>
            <w:tcW w:w="2160" w:type="dxa"/>
          </w:tcPr>
          <w:p w:rsidR="006131D4" w:rsidRPr="0096158A" w:rsidRDefault="006131D4" w:rsidP="00447FF7">
            <w:pPr>
              <w:rPr>
                <w:rFonts w:ascii="Cambria" w:hAnsi="Cambria"/>
              </w:rPr>
            </w:pPr>
            <w:r>
              <w:rPr>
                <w:rFonts w:ascii="Cambria" w:hAnsi="Cambria"/>
              </w:rPr>
              <w:t xml:space="preserve">Fragile X </w:t>
            </w:r>
          </w:p>
        </w:tc>
        <w:tc>
          <w:tcPr>
            <w:tcW w:w="1492" w:type="dxa"/>
          </w:tcPr>
          <w:p w:rsidR="006131D4" w:rsidRPr="003B7B6C" w:rsidRDefault="006131D4" w:rsidP="00447FF7">
            <w:pPr>
              <w:jc w:val="center"/>
              <w:rPr>
                <w:rFonts w:ascii="Cambria" w:hAnsi="Cambria"/>
              </w:rPr>
            </w:pPr>
            <w:r>
              <w:rPr>
                <w:rFonts w:ascii="Cambria" w:hAnsi="Cambria"/>
              </w:rPr>
              <w:t>28</w:t>
            </w:r>
          </w:p>
        </w:tc>
        <w:tc>
          <w:tcPr>
            <w:tcW w:w="2252" w:type="dxa"/>
          </w:tcPr>
          <w:p w:rsidR="006131D4" w:rsidRPr="00A478D7" w:rsidRDefault="006131D4" w:rsidP="00447FF7">
            <w:pPr>
              <w:jc w:val="center"/>
              <w:rPr>
                <w:rFonts w:ascii="Cambria" w:hAnsi="Cambria"/>
              </w:rPr>
            </w:pPr>
            <w:r w:rsidRPr="00A478D7">
              <w:rPr>
                <w:rFonts w:ascii="Cambria" w:hAnsi="Cambria"/>
              </w:rPr>
              <w:t>13.6 (1.3)</w:t>
            </w:r>
          </w:p>
        </w:tc>
        <w:tc>
          <w:tcPr>
            <w:tcW w:w="1872" w:type="dxa"/>
          </w:tcPr>
          <w:p w:rsidR="006131D4" w:rsidRPr="00A478D7" w:rsidRDefault="006131D4" w:rsidP="00447FF7">
            <w:pPr>
              <w:jc w:val="center"/>
              <w:rPr>
                <w:rFonts w:ascii="Cambria" w:hAnsi="Cambria"/>
              </w:rPr>
            </w:pPr>
            <w:r w:rsidRPr="00A478D7">
              <w:rPr>
                <w:rFonts w:ascii="Cambria" w:hAnsi="Cambria"/>
              </w:rPr>
              <w:t>3.7</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100.0</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92.8</w:t>
            </w:r>
          </w:p>
        </w:tc>
      </w:tr>
      <w:tr w:rsidR="006131D4" w:rsidRPr="00326D41" w:rsidTr="00447FF7">
        <w:tc>
          <w:tcPr>
            <w:tcW w:w="2160" w:type="dxa"/>
          </w:tcPr>
          <w:p w:rsidR="006131D4" w:rsidRDefault="006131D4" w:rsidP="00447FF7">
            <w:pPr>
              <w:rPr>
                <w:rFonts w:ascii="Cambria" w:hAnsi="Cambria"/>
              </w:rPr>
            </w:pPr>
            <w:r>
              <w:rPr>
                <w:rFonts w:ascii="Cambria" w:hAnsi="Cambria"/>
              </w:rPr>
              <w:t xml:space="preserve">Prader-Willi </w:t>
            </w:r>
          </w:p>
        </w:tc>
        <w:tc>
          <w:tcPr>
            <w:tcW w:w="1492" w:type="dxa"/>
          </w:tcPr>
          <w:p w:rsidR="006131D4" w:rsidRPr="00326D41" w:rsidRDefault="006131D4" w:rsidP="00447FF7">
            <w:pPr>
              <w:jc w:val="center"/>
              <w:rPr>
                <w:rFonts w:ascii="Cambria" w:hAnsi="Cambria"/>
              </w:rPr>
            </w:pPr>
            <w:r w:rsidRPr="00326D41">
              <w:rPr>
                <w:rFonts w:ascii="Cambria" w:hAnsi="Cambria"/>
              </w:rPr>
              <w:t>37</w:t>
            </w:r>
          </w:p>
        </w:tc>
        <w:tc>
          <w:tcPr>
            <w:tcW w:w="2252" w:type="dxa"/>
          </w:tcPr>
          <w:p w:rsidR="006131D4" w:rsidRPr="00A478D7" w:rsidRDefault="006131D4" w:rsidP="00447FF7">
            <w:pPr>
              <w:jc w:val="center"/>
              <w:rPr>
                <w:rFonts w:ascii="Cambria" w:hAnsi="Cambria"/>
              </w:rPr>
            </w:pPr>
            <w:r w:rsidRPr="00A478D7">
              <w:rPr>
                <w:rFonts w:ascii="Cambria" w:hAnsi="Cambria"/>
              </w:rPr>
              <w:t>10.7 (2.3)</w:t>
            </w:r>
          </w:p>
        </w:tc>
        <w:tc>
          <w:tcPr>
            <w:tcW w:w="1872" w:type="dxa"/>
          </w:tcPr>
          <w:p w:rsidR="006131D4" w:rsidRPr="00A478D7" w:rsidRDefault="006131D4" w:rsidP="00447FF7">
            <w:pPr>
              <w:jc w:val="center"/>
              <w:rPr>
                <w:rFonts w:ascii="Cambria" w:hAnsi="Cambria"/>
              </w:rPr>
            </w:pPr>
            <w:r w:rsidRPr="00A478D7">
              <w:rPr>
                <w:rFonts w:ascii="Cambria" w:hAnsi="Cambria"/>
              </w:rPr>
              <w:t>32.4</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94.6</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94.6</w:t>
            </w:r>
          </w:p>
        </w:tc>
      </w:tr>
      <w:tr w:rsidR="006131D4" w:rsidRPr="0096158A" w:rsidTr="00447FF7">
        <w:tc>
          <w:tcPr>
            <w:tcW w:w="2160" w:type="dxa"/>
          </w:tcPr>
          <w:p w:rsidR="006131D4" w:rsidRDefault="006131D4" w:rsidP="00447FF7">
            <w:pPr>
              <w:rPr>
                <w:rFonts w:ascii="Cambria" w:hAnsi="Cambria"/>
              </w:rPr>
            </w:pPr>
            <w:r>
              <w:rPr>
                <w:rFonts w:ascii="Cambria" w:hAnsi="Cambria"/>
              </w:rPr>
              <w:t>1p36 deletion</w:t>
            </w:r>
          </w:p>
        </w:tc>
        <w:tc>
          <w:tcPr>
            <w:tcW w:w="1492" w:type="dxa"/>
          </w:tcPr>
          <w:p w:rsidR="006131D4" w:rsidRPr="003B7B6C" w:rsidRDefault="006131D4" w:rsidP="00447FF7">
            <w:pPr>
              <w:jc w:val="center"/>
              <w:rPr>
                <w:rFonts w:ascii="Cambria" w:hAnsi="Cambria"/>
              </w:rPr>
            </w:pPr>
            <w:r>
              <w:rPr>
                <w:rFonts w:ascii="Cambria" w:hAnsi="Cambria"/>
              </w:rPr>
              <w:t>20</w:t>
            </w:r>
          </w:p>
        </w:tc>
        <w:tc>
          <w:tcPr>
            <w:tcW w:w="2252" w:type="dxa"/>
          </w:tcPr>
          <w:p w:rsidR="006131D4" w:rsidRPr="00A478D7" w:rsidRDefault="006131D4" w:rsidP="00447FF7">
            <w:pPr>
              <w:jc w:val="center"/>
              <w:rPr>
                <w:rFonts w:ascii="Cambria" w:hAnsi="Cambria"/>
              </w:rPr>
            </w:pPr>
            <w:r w:rsidRPr="00A478D7">
              <w:rPr>
                <w:rFonts w:ascii="Cambria" w:hAnsi="Cambria"/>
              </w:rPr>
              <w:t>7.9 (4.2)</w:t>
            </w:r>
          </w:p>
        </w:tc>
        <w:tc>
          <w:tcPr>
            <w:tcW w:w="1872" w:type="dxa"/>
          </w:tcPr>
          <w:p w:rsidR="006131D4" w:rsidRPr="00A478D7" w:rsidRDefault="006131D4" w:rsidP="00447FF7">
            <w:pPr>
              <w:jc w:val="center"/>
              <w:rPr>
                <w:rFonts w:ascii="Cambria" w:hAnsi="Cambria"/>
              </w:rPr>
            </w:pPr>
            <w:r w:rsidRPr="00A478D7">
              <w:rPr>
                <w:rFonts w:ascii="Cambria" w:hAnsi="Cambria"/>
              </w:rPr>
              <w:t>65.0</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55.0</w:t>
            </w:r>
          </w:p>
        </w:tc>
        <w:tc>
          <w:tcPr>
            <w:tcW w:w="1872" w:type="dxa"/>
            <w:shd w:val="clear" w:color="auto" w:fill="auto"/>
          </w:tcPr>
          <w:p w:rsidR="006131D4" w:rsidRPr="00A478D7" w:rsidRDefault="006131D4" w:rsidP="00447FF7">
            <w:pPr>
              <w:jc w:val="center"/>
              <w:rPr>
                <w:rFonts w:ascii="Cambria" w:hAnsi="Cambria"/>
              </w:rPr>
            </w:pPr>
            <w:r w:rsidRPr="00A478D7">
              <w:rPr>
                <w:rFonts w:ascii="Cambria" w:hAnsi="Cambria"/>
              </w:rPr>
              <w:t>35.0</w:t>
            </w:r>
          </w:p>
        </w:tc>
      </w:tr>
      <w:tr w:rsidR="006131D4" w:rsidRPr="009D2CCE" w:rsidTr="00447FF7">
        <w:tc>
          <w:tcPr>
            <w:tcW w:w="11520" w:type="dxa"/>
            <w:gridSpan w:val="6"/>
          </w:tcPr>
          <w:p w:rsidR="006131D4" w:rsidRPr="009D2CCE" w:rsidRDefault="006131D4" w:rsidP="00447FF7">
            <w:pPr>
              <w:rPr>
                <w:rFonts w:ascii="Cambria" w:hAnsi="Cambria"/>
                <w:sz w:val="20"/>
                <w:szCs w:val="20"/>
              </w:rPr>
            </w:pPr>
            <w:r>
              <w:rPr>
                <w:rFonts w:ascii="Verdana" w:hAnsi="Verdana" w:cs="Tahoma"/>
                <w:noProof/>
                <w:color w:val="333333"/>
                <w:sz w:val="20"/>
                <w:szCs w:val="20"/>
              </w:rPr>
              <mc:AlternateContent>
                <mc:Choice Requires="wps">
                  <w:drawing>
                    <wp:anchor distT="4294967295" distB="4294967295" distL="114300" distR="114300" simplePos="0" relativeHeight="251668480" behindDoc="0" locked="0" layoutInCell="1" allowOverlap="1" wp14:anchorId="69537E5E" wp14:editId="4323BFF5">
                      <wp:simplePos x="0" y="0"/>
                      <wp:positionH relativeFrom="column">
                        <wp:posOffset>-205105</wp:posOffset>
                      </wp:positionH>
                      <wp:positionV relativeFrom="paragraph">
                        <wp:posOffset>9524</wp:posOffset>
                      </wp:positionV>
                      <wp:extent cx="7492365" cy="0"/>
                      <wp:effectExtent l="0" t="0" r="13335" b="1905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75pt" to="57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y8HwIAADc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"/>
                  </w:pict>
                </mc:Fallback>
              </mc:AlternateContent>
            </w:r>
            <w:r>
              <w:rPr>
                <w:rFonts w:ascii="Cambria" w:hAnsi="Cambria"/>
                <w:sz w:val="20"/>
                <w:szCs w:val="20"/>
              </w:rPr>
              <w:t>µ</w:t>
            </w:r>
            <w:r w:rsidRPr="009D2CCE">
              <w:rPr>
                <w:rFonts w:ascii="Cambria" w:hAnsi="Cambria"/>
                <w:sz w:val="20"/>
                <w:szCs w:val="20"/>
              </w:rPr>
              <w:t xml:space="preserve"> </w:t>
            </w:r>
            <w:r w:rsidRPr="009D2CCE">
              <w:rPr>
                <w:rFonts w:ascii="Cambria" w:hAnsi="Cambria"/>
                <w:i/>
                <w:sz w:val="20"/>
                <w:szCs w:val="20"/>
              </w:rPr>
              <w:t xml:space="preserve">N </w:t>
            </w:r>
            <w:r w:rsidRPr="009D2CCE">
              <w:rPr>
                <w:rFonts w:ascii="Cambria" w:hAnsi="Cambria"/>
                <w:sz w:val="20"/>
                <w:szCs w:val="20"/>
              </w:rPr>
              <w:t>may vary across analysis due to missing data</w:t>
            </w:r>
          </w:p>
          <w:p w:rsidR="006131D4" w:rsidRPr="009D2CCE" w:rsidRDefault="006131D4" w:rsidP="00447FF7">
            <w:pPr>
              <w:rPr>
                <w:rFonts w:ascii="Cambria" w:hAnsi="Cambria"/>
                <w:sz w:val="20"/>
                <w:szCs w:val="20"/>
              </w:rPr>
            </w:pPr>
            <w:r w:rsidRPr="00374CAF">
              <w:rPr>
                <w:rFonts w:ascii="Cambria" w:hAnsi="Cambria"/>
                <w:i/>
                <w:vertAlign w:val="superscript"/>
              </w:rPr>
              <w:t>β</w:t>
            </w:r>
            <w:r w:rsidRPr="009D2CCE">
              <w:rPr>
                <w:rFonts w:ascii="Cambria" w:hAnsi="Cambria"/>
                <w:sz w:val="20"/>
                <w:szCs w:val="20"/>
              </w:rPr>
              <w:t xml:space="preserve"> In years</w:t>
            </w:r>
          </w:p>
          <w:p w:rsidR="006131D4" w:rsidRPr="00467EAF" w:rsidRDefault="006131D4" w:rsidP="00447FF7">
            <w:pPr>
              <w:rPr>
                <w:rFonts w:asciiTheme="majorHAnsi" w:hAnsiTheme="majorHAnsi"/>
                <w:sz w:val="20"/>
                <w:szCs w:val="20"/>
              </w:rPr>
            </w:pPr>
            <w:r w:rsidRPr="00467EAF">
              <w:rPr>
                <w:rFonts w:asciiTheme="majorHAnsi" w:hAnsiTheme="majorHAnsi"/>
                <w:sz w:val="20"/>
                <w:szCs w:val="20"/>
              </w:rPr>
              <w:t>*</w:t>
            </w:r>
            <w:r>
              <w:rPr>
                <w:rFonts w:asciiTheme="majorHAnsi" w:hAnsiTheme="majorHAnsi"/>
                <w:sz w:val="20"/>
                <w:szCs w:val="20"/>
              </w:rPr>
              <w:t xml:space="preserve"> significant group differences at p &lt; 0.01</w:t>
            </w:r>
          </w:p>
          <w:p w:rsidR="006131D4" w:rsidRPr="00FD2F64" w:rsidRDefault="006131D4" w:rsidP="00447FF7">
            <w:pPr>
              <w:rPr>
                <w:sz w:val="20"/>
                <w:szCs w:val="20"/>
              </w:rPr>
            </w:pPr>
            <w:r w:rsidRPr="00FD2F64">
              <w:rPr>
                <w:sz w:val="20"/>
                <w:szCs w:val="20"/>
              </w:rPr>
              <w:t>1</w:t>
            </w:r>
            <w:r w:rsidRPr="00FD2F64">
              <w:t xml:space="preserve"> </w:t>
            </w:r>
            <w:r w:rsidRPr="00FD2F64">
              <w:rPr>
                <w:sz w:val="20"/>
                <w:szCs w:val="20"/>
              </w:rPr>
              <w:t>no significant differences between groups. The Fragile X group was excluded from the gender analysis due to the X-linked nature of the condition.</w:t>
            </w:r>
          </w:p>
          <w:p w:rsidR="006131D4" w:rsidRPr="00A62D35" w:rsidRDefault="006131D4" w:rsidP="00447FF7">
            <w:pPr>
              <w:rPr>
                <w:rFonts w:ascii="Cambria" w:hAnsi="Cambria"/>
                <w:color w:val="FF0000"/>
                <w:sz w:val="20"/>
                <w:szCs w:val="20"/>
                <w:u w:val="single"/>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tbl>
            <w:tblPr>
              <w:tblStyle w:val="TableGrid"/>
              <w:tblpPr w:leftFromText="180" w:rightFromText="180" w:vertAnchor="text" w:horzAnchor="margin" w:tblpY="84"/>
              <w:tblW w:w="8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4"/>
              <w:gridCol w:w="5713"/>
            </w:tblGrid>
            <w:tr w:rsidR="006131D4" w:rsidTr="00447FF7">
              <w:trPr>
                <w:trHeight w:val="420"/>
              </w:trPr>
              <w:tc>
                <w:tcPr>
                  <w:tcW w:w="8837" w:type="dxa"/>
                  <w:gridSpan w:val="2"/>
                </w:tcPr>
                <w:p w:rsidR="006131D4" w:rsidRDefault="006131D4" w:rsidP="00447FF7">
                  <w:pPr>
                    <w:rPr>
                      <w:rFonts w:ascii="Cambria" w:hAnsi="Cambria"/>
                    </w:rPr>
                  </w:pPr>
                  <w:r>
                    <w:rPr>
                      <w:rFonts w:ascii="Cambria" w:hAnsi="Cambria"/>
                      <w:noProof/>
                    </w:rPr>
                    <mc:AlternateContent>
                      <mc:Choice Requires="wps">
                        <w:drawing>
                          <wp:anchor distT="0" distB="0" distL="114300" distR="114300" simplePos="0" relativeHeight="251669504" behindDoc="0" locked="0" layoutInCell="1" allowOverlap="1" wp14:anchorId="4D87E262" wp14:editId="7104B545">
                            <wp:simplePos x="0" y="0"/>
                            <wp:positionH relativeFrom="column">
                              <wp:posOffset>-168275</wp:posOffset>
                            </wp:positionH>
                            <wp:positionV relativeFrom="paragraph">
                              <wp:posOffset>508635</wp:posOffset>
                            </wp:positionV>
                            <wp:extent cx="6324600" cy="0"/>
                            <wp:effectExtent l="0" t="0" r="19050" b="19050"/>
                            <wp:wrapNone/>
                            <wp:docPr id="1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40.05pt" to="484.7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eC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"/>
                        </w:pict>
                      </mc:Fallback>
                    </mc:AlternateContent>
                  </w:r>
                  <w:r>
                    <w:rPr>
                      <w:rFonts w:ascii="Cambria" w:hAnsi="Cambria"/>
                      <w:b/>
                    </w:rPr>
                    <w:t>Table II.</w:t>
                  </w:r>
                  <w:r>
                    <w:rPr>
                      <w:rFonts w:ascii="Cambria" w:hAnsi="Cambria"/>
                    </w:rPr>
                    <w:t xml:space="preserve"> Results of post hoc comparisons for variables on which significant group differences were identified. </w:t>
                  </w:r>
                </w:p>
                <w:p w:rsidR="006131D4" w:rsidRPr="00C27215" w:rsidRDefault="006131D4" w:rsidP="00447FF7">
                  <w:pPr>
                    <w:rPr>
                      <w:rFonts w:ascii="Cambria" w:hAnsi="Cambria"/>
                    </w:rPr>
                  </w:pPr>
                </w:p>
              </w:tc>
            </w:tr>
            <w:tr w:rsidR="006131D4" w:rsidTr="00447FF7">
              <w:trPr>
                <w:trHeight w:val="420"/>
              </w:trPr>
              <w:tc>
                <w:tcPr>
                  <w:tcW w:w="3124" w:type="dxa"/>
                </w:tcPr>
                <w:p w:rsidR="006131D4" w:rsidRPr="0096158A" w:rsidRDefault="006131D4" w:rsidP="00447FF7">
                  <w:pPr>
                    <w:rPr>
                      <w:rFonts w:ascii="Cambria" w:hAnsi="Cambria"/>
                    </w:rPr>
                  </w:pPr>
                  <w:r>
                    <w:rPr>
                      <w:rFonts w:ascii="Cambria" w:hAnsi="Cambria"/>
                      <w:noProof/>
                    </w:rPr>
                    <mc:AlternateContent>
                      <mc:Choice Requires="wps">
                        <w:drawing>
                          <wp:anchor distT="4294967295" distB="4294967295" distL="114300" distR="114300" simplePos="0" relativeHeight="251670528" behindDoc="0" locked="0" layoutInCell="1" allowOverlap="1" wp14:anchorId="5CAB18F1" wp14:editId="2AE8BF93">
                            <wp:simplePos x="0" y="0"/>
                            <wp:positionH relativeFrom="column">
                              <wp:posOffset>-92075</wp:posOffset>
                            </wp:positionH>
                            <wp:positionV relativeFrom="paragraph">
                              <wp:posOffset>232409</wp:posOffset>
                            </wp:positionV>
                            <wp:extent cx="6467475" cy="0"/>
                            <wp:effectExtent l="0" t="0" r="9525" b="19050"/>
                            <wp:wrapNone/>
                            <wp:docPr id="2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18.3pt" to="50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zg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"/>
                        </w:pict>
                      </mc:Fallback>
                    </mc:AlternateContent>
                  </w:r>
                  <w:r>
                    <w:rPr>
                      <w:rFonts w:ascii="Cambria" w:hAnsi="Cambria"/>
                    </w:rPr>
                    <w:t>Demographic characteristic</w:t>
                  </w:r>
                </w:p>
              </w:tc>
              <w:tc>
                <w:tcPr>
                  <w:tcW w:w="5713" w:type="dxa"/>
                </w:tcPr>
                <w:p w:rsidR="006131D4" w:rsidRPr="00F84723" w:rsidRDefault="006131D4" w:rsidP="00447FF7">
                  <w:pPr>
                    <w:jc w:val="center"/>
                    <w:rPr>
                      <w:rFonts w:ascii="Cambria" w:hAnsi="Cambria"/>
                    </w:rPr>
                  </w:pPr>
                  <w:r>
                    <w:rPr>
                      <w:rFonts w:ascii="Cambria" w:hAnsi="Cambria"/>
                    </w:rPr>
                    <w:t xml:space="preserve">Results of post hoc analysis </w:t>
                  </w:r>
                  <w:r>
                    <w:rPr>
                      <w:rFonts w:ascii="Cambria" w:hAnsi="Cambria"/>
                      <w:i/>
                    </w:rPr>
                    <w:t>p</w:t>
                  </w:r>
                  <w:r>
                    <w:rPr>
                      <w:rFonts w:ascii="Cambria" w:hAnsi="Cambria"/>
                    </w:rPr>
                    <w:t xml:space="preserve"> &lt; .01</w:t>
                  </w:r>
                </w:p>
              </w:tc>
            </w:tr>
            <w:tr w:rsidR="006131D4" w:rsidTr="00447FF7">
              <w:tc>
                <w:tcPr>
                  <w:tcW w:w="3124" w:type="dxa"/>
                </w:tcPr>
                <w:p w:rsidR="006131D4" w:rsidRPr="0096158A" w:rsidRDefault="006131D4" w:rsidP="00447FF7">
                  <w:pPr>
                    <w:rPr>
                      <w:rFonts w:ascii="Cambria" w:hAnsi="Cambria"/>
                    </w:rPr>
                  </w:pPr>
                  <w:r>
                    <w:rPr>
                      <w:rFonts w:ascii="Cambria" w:hAnsi="Cambria"/>
                    </w:rPr>
                    <w:t>Age</w:t>
                  </w:r>
                </w:p>
              </w:tc>
              <w:tc>
                <w:tcPr>
                  <w:tcW w:w="5713" w:type="dxa"/>
                </w:tcPr>
                <w:p w:rsidR="006131D4" w:rsidRDefault="006131D4" w:rsidP="00447FF7">
                  <w:pPr>
                    <w:jc w:val="center"/>
                    <w:rPr>
                      <w:rFonts w:ascii="Cambria" w:hAnsi="Cambria"/>
                    </w:rPr>
                  </w:pPr>
                  <w:r>
                    <w:rPr>
                      <w:rFonts w:ascii="Cambria" w:hAnsi="Cambria"/>
                    </w:rPr>
                    <w:t>FXS &gt; AS, CdLS, 1p36, PWS</w:t>
                  </w:r>
                </w:p>
                <w:p w:rsidR="006131D4" w:rsidRDefault="006131D4" w:rsidP="00447FF7">
                  <w:pPr>
                    <w:jc w:val="center"/>
                    <w:rPr>
                      <w:rFonts w:ascii="Cambria" w:hAnsi="Cambria"/>
                    </w:rPr>
                  </w:pPr>
                  <w:r>
                    <w:rPr>
                      <w:rFonts w:ascii="Cambria" w:hAnsi="Cambria"/>
                    </w:rPr>
                    <w:t>PWS&gt; 1p36</w:t>
                  </w:r>
                </w:p>
                <w:p w:rsidR="006131D4" w:rsidRPr="003B7B6C" w:rsidRDefault="006131D4" w:rsidP="00447FF7">
                  <w:pPr>
                    <w:jc w:val="center"/>
                    <w:rPr>
                      <w:rFonts w:ascii="Cambria" w:hAnsi="Cambria"/>
                    </w:rPr>
                  </w:pPr>
                </w:p>
              </w:tc>
            </w:tr>
            <w:tr w:rsidR="006131D4" w:rsidTr="00447FF7">
              <w:tc>
                <w:tcPr>
                  <w:tcW w:w="3124" w:type="dxa"/>
                </w:tcPr>
                <w:p w:rsidR="006131D4" w:rsidRPr="0096158A" w:rsidRDefault="006131D4" w:rsidP="00447FF7">
                  <w:pPr>
                    <w:rPr>
                      <w:rFonts w:ascii="Cambria" w:hAnsi="Cambria"/>
                    </w:rPr>
                  </w:pPr>
                  <w:r>
                    <w:rPr>
                      <w:rFonts w:ascii="Cambria" w:hAnsi="Cambria"/>
                    </w:rPr>
                    <w:t>Number of mobile participants</w:t>
                  </w:r>
                </w:p>
              </w:tc>
              <w:tc>
                <w:tcPr>
                  <w:tcW w:w="5713" w:type="dxa"/>
                </w:tcPr>
                <w:p w:rsidR="006131D4" w:rsidRDefault="006131D4" w:rsidP="00447FF7">
                  <w:pPr>
                    <w:jc w:val="center"/>
                    <w:rPr>
                      <w:rFonts w:ascii="Cambria" w:hAnsi="Cambria"/>
                    </w:rPr>
                  </w:pPr>
                  <w:r>
                    <w:rPr>
                      <w:rFonts w:ascii="Cambria" w:hAnsi="Cambria"/>
                    </w:rPr>
                    <w:t>FXS &gt; AS, 1p36</w:t>
                  </w:r>
                </w:p>
                <w:p w:rsidR="006131D4" w:rsidRDefault="006131D4" w:rsidP="00447FF7">
                  <w:pPr>
                    <w:jc w:val="center"/>
                    <w:rPr>
                      <w:rFonts w:ascii="Cambria" w:hAnsi="Cambria"/>
                    </w:rPr>
                  </w:pPr>
                  <w:r>
                    <w:rPr>
                      <w:rFonts w:ascii="Cambria" w:hAnsi="Cambria"/>
                    </w:rPr>
                    <w:t>PWS&gt;1p36</w:t>
                  </w:r>
                </w:p>
                <w:p w:rsidR="006131D4" w:rsidRPr="003B7B6C" w:rsidRDefault="006131D4" w:rsidP="00447FF7">
                  <w:pPr>
                    <w:jc w:val="center"/>
                    <w:rPr>
                      <w:rFonts w:ascii="Cambria" w:hAnsi="Cambria"/>
                    </w:rPr>
                  </w:pPr>
                </w:p>
              </w:tc>
            </w:tr>
            <w:tr w:rsidR="006131D4" w:rsidTr="00447FF7">
              <w:tc>
                <w:tcPr>
                  <w:tcW w:w="3124" w:type="dxa"/>
                </w:tcPr>
                <w:p w:rsidR="006131D4" w:rsidRDefault="006131D4" w:rsidP="00447FF7">
                  <w:pPr>
                    <w:rPr>
                      <w:rFonts w:ascii="Cambria" w:hAnsi="Cambria"/>
                    </w:rPr>
                  </w:pPr>
                  <w:r>
                    <w:rPr>
                      <w:rFonts w:ascii="Cambria" w:hAnsi="Cambria"/>
                    </w:rPr>
                    <w:t>Number of verbal participants</w:t>
                  </w: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Pr="0096158A" w:rsidRDefault="006131D4" w:rsidP="00447FF7">
                  <w:pPr>
                    <w:rPr>
                      <w:rFonts w:ascii="Cambria" w:hAnsi="Cambria"/>
                    </w:rPr>
                  </w:pPr>
                  <w:r>
                    <w:rPr>
                      <w:rFonts w:ascii="Cambria" w:hAnsi="Cambria"/>
                    </w:rPr>
                    <w:t>Wessex self-help score</w:t>
                  </w:r>
                </w:p>
              </w:tc>
              <w:tc>
                <w:tcPr>
                  <w:tcW w:w="5713" w:type="dxa"/>
                </w:tcPr>
                <w:p w:rsidR="006131D4" w:rsidRDefault="006131D4" w:rsidP="00447FF7">
                  <w:pPr>
                    <w:jc w:val="center"/>
                    <w:rPr>
                      <w:rFonts w:ascii="Cambria" w:hAnsi="Cambria"/>
                    </w:rPr>
                  </w:pPr>
                  <w:r>
                    <w:rPr>
                      <w:rFonts w:ascii="Cambria" w:hAnsi="Cambria"/>
                    </w:rPr>
                    <w:t>AS &lt; CdLS, FXS, PWS, 1p36</w:t>
                  </w:r>
                </w:p>
                <w:p w:rsidR="006131D4" w:rsidRDefault="006131D4" w:rsidP="00447FF7">
                  <w:pPr>
                    <w:jc w:val="center"/>
                    <w:rPr>
                      <w:rFonts w:ascii="Cambria" w:hAnsi="Cambria"/>
                    </w:rPr>
                  </w:pPr>
                  <w:r>
                    <w:rPr>
                      <w:rFonts w:ascii="Cambria" w:hAnsi="Cambria"/>
                    </w:rPr>
                    <w:t>CdLS &lt; FXS, PWS</w:t>
                  </w:r>
                </w:p>
                <w:p w:rsidR="006131D4" w:rsidRDefault="006131D4" w:rsidP="00447FF7">
                  <w:pPr>
                    <w:jc w:val="center"/>
                    <w:rPr>
                      <w:rFonts w:ascii="Cambria" w:hAnsi="Cambria"/>
                    </w:rPr>
                  </w:pPr>
                  <w:r>
                    <w:rPr>
                      <w:rFonts w:ascii="Cambria" w:hAnsi="Cambria"/>
                    </w:rPr>
                    <w:t>1p36 &lt; FXS, PWS</w:t>
                  </w:r>
                </w:p>
                <w:p w:rsidR="006131D4" w:rsidRDefault="006131D4" w:rsidP="00447FF7">
                  <w:pPr>
                    <w:jc w:val="center"/>
                    <w:rPr>
                      <w:rFonts w:ascii="Cambria" w:hAnsi="Cambria"/>
                    </w:rPr>
                  </w:pPr>
                </w:p>
                <w:p w:rsidR="006131D4" w:rsidRDefault="006131D4" w:rsidP="00447FF7">
                  <w:pPr>
                    <w:jc w:val="center"/>
                    <w:rPr>
                      <w:rFonts w:ascii="Cambria" w:hAnsi="Cambria"/>
                    </w:rPr>
                  </w:pPr>
                </w:p>
                <w:p w:rsidR="006131D4" w:rsidRDefault="006131D4" w:rsidP="00447FF7">
                  <w:pPr>
                    <w:jc w:val="center"/>
                    <w:rPr>
                      <w:rFonts w:ascii="Cambria" w:hAnsi="Cambria"/>
                    </w:rPr>
                  </w:pPr>
                  <w:r>
                    <w:rPr>
                      <w:rFonts w:ascii="Cambria" w:hAnsi="Cambria"/>
                    </w:rPr>
                    <w:t>PWS &gt; 1p36, AS, CdLS</w:t>
                  </w:r>
                </w:p>
                <w:p w:rsidR="006131D4" w:rsidRPr="003B7B6C" w:rsidRDefault="006131D4" w:rsidP="00447FF7">
                  <w:pPr>
                    <w:jc w:val="center"/>
                    <w:rPr>
                      <w:rFonts w:ascii="Cambria" w:hAnsi="Cambria"/>
                    </w:rPr>
                  </w:pPr>
                  <w:r>
                    <w:rPr>
                      <w:rFonts w:ascii="Cambria" w:hAnsi="Cambria"/>
                    </w:rPr>
                    <w:t>FXS &gt; 1p36, AS, CdLS</w:t>
                  </w:r>
                </w:p>
              </w:tc>
            </w:tr>
            <w:tr w:rsidR="006131D4" w:rsidTr="00447FF7">
              <w:tc>
                <w:tcPr>
                  <w:tcW w:w="8837" w:type="dxa"/>
                  <w:gridSpan w:val="2"/>
                </w:tcPr>
                <w:p w:rsidR="006131D4" w:rsidRDefault="006131D4" w:rsidP="00447FF7">
                  <w:pPr>
                    <w:rPr>
                      <w:rFonts w:ascii="Cambria" w:hAnsi="Cambria"/>
                      <w:i/>
                      <w:sz w:val="20"/>
                      <w:szCs w:val="20"/>
                    </w:rPr>
                  </w:pPr>
                </w:p>
                <w:p w:rsidR="006131D4" w:rsidRDefault="006131D4" w:rsidP="00447FF7">
                  <w:pPr>
                    <w:rPr>
                      <w:rFonts w:ascii="Cambria" w:hAnsi="Cambria"/>
                      <w:i/>
                      <w:sz w:val="20"/>
                      <w:szCs w:val="20"/>
                    </w:rPr>
                  </w:pPr>
                  <w:r>
                    <w:rPr>
                      <w:rFonts w:ascii="Cambria" w:hAnsi="Cambria"/>
                      <w:noProof/>
                    </w:rPr>
                    <mc:AlternateContent>
                      <mc:Choice Requires="wps">
                        <w:drawing>
                          <wp:anchor distT="4294967295" distB="4294967295" distL="114300" distR="114300" simplePos="0" relativeHeight="251671552" behindDoc="0" locked="0" layoutInCell="1" allowOverlap="1" wp14:anchorId="3E0A4511" wp14:editId="2B086EC6">
                            <wp:simplePos x="0" y="0"/>
                            <wp:positionH relativeFrom="column">
                              <wp:posOffset>-6350</wp:posOffset>
                            </wp:positionH>
                            <wp:positionV relativeFrom="paragraph">
                              <wp:posOffset>66674</wp:posOffset>
                            </wp:positionV>
                            <wp:extent cx="6467475" cy="0"/>
                            <wp:effectExtent l="0" t="0" r="9525"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5.25pt" to="508.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LSHQIAADc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"/>
                        </w:pict>
                      </mc:Fallback>
                    </mc:AlternateContent>
                  </w:r>
                </w:p>
                <w:p w:rsidR="006131D4" w:rsidRPr="00FE714F" w:rsidRDefault="006131D4" w:rsidP="00447FF7">
                  <w:pPr>
                    <w:rPr>
                      <w:rFonts w:ascii="Cambria" w:hAnsi="Cambria"/>
                      <w:sz w:val="20"/>
                      <w:szCs w:val="20"/>
                    </w:rPr>
                  </w:pPr>
                  <w:r w:rsidRPr="00FE714F">
                    <w:rPr>
                      <w:rFonts w:ascii="Cambria" w:hAnsi="Cambria"/>
                      <w:i/>
                      <w:sz w:val="20"/>
                      <w:szCs w:val="20"/>
                    </w:rPr>
                    <w:t xml:space="preserve">FXS </w:t>
                  </w:r>
                  <w:r w:rsidRPr="00FE714F">
                    <w:rPr>
                      <w:rFonts w:ascii="Cambria" w:hAnsi="Cambria"/>
                      <w:sz w:val="20"/>
                      <w:szCs w:val="20"/>
                    </w:rPr>
                    <w:t>Fragile X syndrome</w:t>
                  </w:r>
                  <w:r w:rsidRPr="00FE714F">
                    <w:rPr>
                      <w:rFonts w:ascii="Cambria" w:hAnsi="Cambria"/>
                      <w:i/>
                      <w:sz w:val="20"/>
                      <w:szCs w:val="20"/>
                    </w:rPr>
                    <w:t>, AS</w:t>
                  </w:r>
                  <w:r w:rsidRPr="00FE714F">
                    <w:rPr>
                      <w:rFonts w:ascii="Cambria" w:hAnsi="Cambria"/>
                      <w:sz w:val="20"/>
                      <w:szCs w:val="20"/>
                    </w:rPr>
                    <w:t xml:space="preserve"> Angelman syndrome</w:t>
                  </w:r>
                  <w:r w:rsidRPr="00FE714F">
                    <w:rPr>
                      <w:rFonts w:ascii="Cambria" w:hAnsi="Cambria"/>
                      <w:i/>
                      <w:sz w:val="20"/>
                      <w:szCs w:val="20"/>
                    </w:rPr>
                    <w:t xml:space="preserve">, CdLS </w:t>
                  </w:r>
                  <w:r w:rsidRPr="00FE714F">
                    <w:rPr>
                      <w:rFonts w:ascii="Cambria" w:hAnsi="Cambria"/>
                      <w:sz w:val="20"/>
                      <w:szCs w:val="20"/>
                    </w:rPr>
                    <w:t>Cornelia de Lange syndrome</w:t>
                  </w:r>
                  <w:r w:rsidRPr="00FE714F">
                    <w:rPr>
                      <w:rFonts w:ascii="Cambria" w:hAnsi="Cambria"/>
                      <w:i/>
                      <w:sz w:val="20"/>
                      <w:szCs w:val="20"/>
                    </w:rPr>
                    <w:t xml:space="preserve">, 1p36 </w:t>
                  </w:r>
                  <w:r w:rsidRPr="00FE714F">
                    <w:rPr>
                      <w:rFonts w:ascii="Cambria" w:hAnsi="Cambria"/>
                      <w:sz w:val="20"/>
                      <w:szCs w:val="20"/>
                    </w:rPr>
                    <w:t>1p36 deletion syndrome</w:t>
                  </w:r>
                  <w:r w:rsidRPr="00FE714F">
                    <w:rPr>
                      <w:rFonts w:ascii="Cambria" w:hAnsi="Cambria"/>
                      <w:i/>
                      <w:sz w:val="20"/>
                      <w:szCs w:val="20"/>
                    </w:rPr>
                    <w:t xml:space="preserve">, PWS </w:t>
                  </w:r>
                  <w:r w:rsidRPr="00FE714F">
                    <w:rPr>
                      <w:rFonts w:ascii="Cambria" w:hAnsi="Cambria"/>
                      <w:sz w:val="20"/>
                      <w:szCs w:val="20"/>
                    </w:rPr>
                    <w:t>Prader-Willi Syndrome</w:t>
                  </w:r>
                </w:p>
              </w:tc>
            </w:tr>
          </w:tbl>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Default="006131D4" w:rsidP="00447FF7">
            <w:pPr>
              <w:rPr>
                <w:rFonts w:ascii="Cambria" w:hAnsi="Cambria"/>
              </w:rPr>
            </w:pPr>
          </w:p>
          <w:p w:rsidR="006131D4" w:rsidRPr="009D2CCE" w:rsidRDefault="006131D4" w:rsidP="00447FF7">
            <w:pPr>
              <w:rPr>
                <w:rFonts w:ascii="Cambria" w:hAnsi="Cambria"/>
              </w:rPr>
            </w:pPr>
          </w:p>
        </w:tc>
      </w:tr>
    </w:tbl>
    <w:p w:rsidR="006131D4" w:rsidRDefault="006131D4" w:rsidP="006131D4">
      <w:pPr>
        <w:rPr>
          <w:rFonts w:ascii="Cambria" w:hAnsi="Cambria"/>
        </w:rPr>
      </w:pPr>
    </w:p>
    <w:p w:rsidR="006131D4" w:rsidRDefault="006131D4" w:rsidP="006131D4">
      <w:pPr>
        <w:sectPr w:rsidR="006131D4" w:rsidSect="007F30A5">
          <w:headerReference w:type="default" r:id="rId14"/>
          <w:pgSz w:w="16838" w:h="11906" w:orient="landscape"/>
          <w:pgMar w:top="1440" w:right="1440" w:bottom="1440" w:left="1440" w:header="708" w:footer="708" w:gutter="0"/>
          <w:cols w:space="708"/>
          <w:docGrid w:linePitch="360"/>
        </w:sectPr>
      </w:pPr>
    </w:p>
    <w:tbl>
      <w:tblPr>
        <w:tblStyle w:val="TableGrid"/>
        <w:tblpPr w:leftFromText="180" w:rightFromText="180" w:horzAnchor="page" w:tblpX="3343" w:tblpY="585"/>
        <w:tblW w:w="8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4"/>
        <w:gridCol w:w="5353"/>
      </w:tblGrid>
      <w:tr w:rsidR="006131D4" w:rsidRPr="00C27215" w:rsidTr="00447FF7">
        <w:trPr>
          <w:trHeight w:val="420"/>
        </w:trPr>
        <w:tc>
          <w:tcPr>
            <w:tcW w:w="8837" w:type="dxa"/>
            <w:gridSpan w:val="2"/>
          </w:tcPr>
          <w:p w:rsidR="006131D4" w:rsidRDefault="006131D4" w:rsidP="00447FF7">
            <w:r>
              <w:lastRenderedPageBreak/>
              <w:t>Table III. Syndrome group differences in FRPQ subscales.</w:t>
            </w:r>
          </w:p>
          <w:p w:rsidR="006131D4" w:rsidRDefault="006131D4" w:rsidP="00447FF7"/>
          <w:p w:rsidR="006131D4" w:rsidRDefault="006131D4" w:rsidP="00447FF7">
            <w:r>
              <w:t xml:space="preserve">ANCOVAs including chronological age as covariate and gender as fixed factor. </w:t>
            </w:r>
          </w:p>
          <w:p w:rsidR="006131D4" w:rsidRDefault="006131D4" w:rsidP="00447FF7">
            <w:r>
              <w:t>* significant at 0.01 (Bonferroni-corrected p value)</w:t>
            </w:r>
          </w:p>
          <w:p w:rsidR="006131D4" w:rsidRDefault="006131D4" w:rsidP="00447FF7">
            <w:r w:rsidRPr="009C41D6">
              <w:rPr>
                <w:vertAlign w:val="superscript"/>
              </w:rPr>
              <w:t xml:space="preserve">µ </w:t>
            </w:r>
            <w:r>
              <w:t>also significant after inclusion of self-help skills as a covariate</w:t>
            </w:r>
          </w:p>
          <w:p w:rsidR="006131D4" w:rsidRDefault="006131D4" w:rsidP="00447FF7">
            <w:r w:rsidRPr="0015500B">
              <w:rPr>
                <w:vertAlign w:val="superscript"/>
              </w:rPr>
              <w:sym w:font="Symbol" w:char="F067"/>
            </w:r>
            <w:r>
              <w:t xml:space="preserve"> significant only after inclusion of self-help skills as covariate</w:t>
            </w:r>
          </w:p>
          <w:p w:rsidR="006131D4" w:rsidRPr="0003365D" w:rsidRDefault="006131D4" w:rsidP="00447FF7">
            <w:r w:rsidRPr="0003365D">
              <w:rPr>
                <w:vertAlign w:val="superscript"/>
              </w:rPr>
              <w:t>α</w:t>
            </w:r>
            <w:r>
              <w:t xml:space="preserve"> significant only when gender not included in analysis (FXS group only)</w:t>
            </w:r>
          </w:p>
          <w:p w:rsidR="006131D4" w:rsidRPr="00C27215" w:rsidRDefault="006131D4" w:rsidP="00447FF7">
            <w:pPr>
              <w:rPr>
                <w:rFonts w:ascii="Cambria" w:hAnsi="Cambria"/>
              </w:rPr>
            </w:pPr>
          </w:p>
        </w:tc>
      </w:tr>
      <w:tr w:rsidR="006131D4" w:rsidRPr="00EF202B" w:rsidTr="00447FF7">
        <w:trPr>
          <w:trHeight w:val="420"/>
        </w:trPr>
        <w:tc>
          <w:tcPr>
            <w:tcW w:w="3484" w:type="dxa"/>
          </w:tcPr>
          <w:p w:rsidR="006131D4" w:rsidRPr="0096158A" w:rsidRDefault="006131D4" w:rsidP="00447FF7">
            <w:pPr>
              <w:rPr>
                <w:rFonts w:ascii="Cambria" w:hAnsi="Cambria"/>
              </w:rPr>
            </w:pPr>
          </w:p>
        </w:tc>
        <w:tc>
          <w:tcPr>
            <w:tcW w:w="5353" w:type="dxa"/>
          </w:tcPr>
          <w:p w:rsidR="006131D4" w:rsidRPr="00EF202B" w:rsidRDefault="006131D4" w:rsidP="00447FF7">
            <w:pPr>
              <w:jc w:val="center"/>
              <w:rPr>
                <w:rFonts w:ascii="Cambria" w:hAnsi="Cambria"/>
              </w:rPr>
            </w:pPr>
          </w:p>
        </w:tc>
      </w:tr>
      <w:tr w:rsidR="006131D4" w:rsidRPr="003B7B6C" w:rsidTr="00447FF7">
        <w:tc>
          <w:tcPr>
            <w:tcW w:w="3484" w:type="dxa"/>
          </w:tcPr>
          <w:p w:rsidR="006131D4" w:rsidRPr="0096158A" w:rsidRDefault="006131D4" w:rsidP="00447FF7">
            <w:pPr>
              <w:rPr>
                <w:rFonts w:ascii="Cambria" w:hAnsi="Cambria"/>
              </w:rPr>
            </w:pPr>
          </w:p>
        </w:tc>
        <w:tc>
          <w:tcPr>
            <w:tcW w:w="5353" w:type="dxa"/>
          </w:tcPr>
          <w:p w:rsidR="006131D4" w:rsidRPr="003B7B6C" w:rsidRDefault="006131D4" w:rsidP="00447FF7">
            <w:pPr>
              <w:jc w:val="center"/>
              <w:rPr>
                <w:rFonts w:ascii="Cambria" w:hAnsi="Cambria"/>
              </w:rPr>
            </w:pPr>
          </w:p>
        </w:tc>
      </w:tr>
      <w:tr w:rsidR="006131D4" w:rsidRPr="003B7B6C" w:rsidTr="00447FF7">
        <w:tc>
          <w:tcPr>
            <w:tcW w:w="3484" w:type="dxa"/>
          </w:tcPr>
          <w:p w:rsidR="006131D4" w:rsidRPr="0096158A" w:rsidRDefault="006131D4" w:rsidP="00447FF7">
            <w:pPr>
              <w:rPr>
                <w:rFonts w:ascii="Cambria" w:hAnsi="Cambria"/>
              </w:rPr>
            </w:pPr>
          </w:p>
        </w:tc>
        <w:tc>
          <w:tcPr>
            <w:tcW w:w="5353" w:type="dxa"/>
          </w:tcPr>
          <w:p w:rsidR="006131D4" w:rsidRPr="003B7B6C" w:rsidRDefault="006131D4" w:rsidP="00447FF7">
            <w:pPr>
              <w:jc w:val="center"/>
              <w:rPr>
                <w:rFonts w:ascii="Cambria" w:hAnsi="Cambria"/>
              </w:rPr>
            </w:pPr>
          </w:p>
        </w:tc>
      </w:tr>
      <w:tr w:rsidR="006131D4" w:rsidTr="00447FF7">
        <w:tc>
          <w:tcPr>
            <w:tcW w:w="3484" w:type="dxa"/>
          </w:tcPr>
          <w:p w:rsidR="006131D4" w:rsidRDefault="006131D4" w:rsidP="00447FF7">
            <w:pPr>
              <w:rPr>
                <w:rFonts w:ascii="Cambria" w:hAnsi="Cambria"/>
              </w:rPr>
            </w:pPr>
          </w:p>
        </w:tc>
        <w:tc>
          <w:tcPr>
            <w:tcW w:w="5353" w:type="dxa"/>
          </w:tcPr>
          <w:p w:rsidR="006131D4" w:rsidRDefault="006131D4" w:rsidP="00447FF7">
            <w:pPr>
              <w:jc w:val="center"/>
              <w:rPr>
                <w:rFonts w:ascii="Cambria" w:hAnsi="Cambria"/>
              </w:rPr>
            </w:pPr>
          </w:p>
        </w:tc>
      </w:tr>
      <w:tr w:rsidR="006131D4" w:rsidRPr="003B7B6C" w:rsidTr="00447FF7">
        <w:tc>
          <w:tcPr>
            <w:tcW w:w="3484" w:type="dxa"/>
          </w:tcPr>
          <w:p w:rsidR="006131D4" w:rsidRPr="0096158A" w:rsidRDefault="006131D4" w:rsidP="00447FF7">
            <w:pPr>
              <w:rPr>
                <w:rFonts w:ascii="Cambria" w:hAnsi="Cambria"/>
              </w:rPr>
            </w:pPr>
          </w:p>
        </w:tc>
        <w:tc>
          <w:tcPr>
            <w:tcW w:w="5353" w:type="dxa"/>
          </w:tcPr>
          <w:p w:rsidR="006131D4" w:rsidRPr="003B7B6C" w:rsidRDefault="006131D4" w:rsidP="00447FF7">
            <w:pPr>
              <w:jc w:val="center"/>
              <w:rPr>
                <w:rFonts w:ascii="Cambria" w:hAnsi="Cambria"/>
              </w:rPr>
            </w:pPr>
          </w:p>
        </w:tc>
      </w:tr>
      <w:tr w:rsidR="006131D4" w:rsidRPr="003B7B6C" w:rsidTr="00447FF7">
        <w:tc>
          <w:tcPr>
            <w:tcW w:w="3484" w:type="dxa"/>
          </w:tcPr>
          <w:p w:rsidR="006131D4" w:rsidRPr="0096158A" w:rsidRDefault="006131D4" w:rsidP="00447FF7">
            <w:pPr>
              <w:rPr>
                <w:rFonts w:ascii="Cambria" w:hAnsi="Cambria"/>
              </w:rPr>
            </w:pPr>
          </w:p>
        </w:tc>
        <w:tc>
          <w:tcPr>
            <w:tcW w:w="5353" w:type="dxa"/>
          </w:tcPr>
          <w:p w:rsidR="006131D4" w:rsidRPr="003B7B6C" w:rsidRDefault="006131D4" w:rsidP="00447FF7">
            <w:pPr>
              <w:jc w:val="center"/>
              <w:rPr>
                <w:rFonts w:ascii="Cambria" w:hAnsi="Cambria"/>
              </w:rPr>
            </w:pPr>
          </w:p>
        </w:tc>
      </w:tr>
      <w:tr w:rsidR="006131D4" w:rsidRPr="00BD053B" w:rsidTr="00447FF7">
        <w:tc>
          <w:tcPr>
            <w:tcW w:w="8837" w:type="dxa"/>
            <w:gridSpan w:val="2"/>
          </w:tcPr>
          <w:p w:rsidR="006131D4" w:rsidRPr="00BD053B" w:rsidRDefault="006131D4" w:rsidP="00447FF7">
            <w:pPr>
              <w:rPr>
                <w:rFonts w:ascii="Cambria" w:hAnsi="Cambria"/>
                <w:sz w:val="20"/>
                <w:szCs w:val="20"/>
              </w:rPr>
            </w:pPr>
          </w:p>
        </w:tc>
      </w:tr>
    </w:tbl>
    <w:p w:rsidR="006131D4" w:rsidRPr="006A2C1F" w:rsidRDefault="006131D4" w:rsidP="006131D4">
      <w:pPr>
        <w:jc w:val="center"/>
        <w:rPr>
          <w:rFonts w:ascii="Cambria" w:hAnsi="Cambria"/>
          <w:b/>
        </w:rPr>
      </w:pPr>
    </w:p>
    <w:tbl>
      <w:tblPr>
        <w:tblStyle w:val="TableGrid"/>
        <w:tblpPr w:leftFromText="180" w:rightFromText="180" w:vertAnchor="text" w:horzAnchor="margin" w:tblpY="-220"/>
        <w:tblOverlap w:val="never"/>
        <w:tblW w:w="0" w:type="auto"/>
        <w:tblLook w:val="04A0" w:firstRow="1" w:lastRow="0" w:firstColumn="1" w:lastColumn="0" w:noHBand="0" w:noVBand="1"/>
      </w:tblPr>
      <w:tblGrid>
        <w:gridCol w:w="3651"/>
        <w:gridCol w:w="4960"/>
      </w:tblGrid>
      <w:tr w:rsidR="006131D4" w:rsidTr="006131D4">
        <w:tc>
          <w:tcPr>
            <w:tcW w:w="3651" w:type="dxa"/>
            <w:tcBorders>
              <w:bottom w:val="single" w:sz="4" w:space="0" w:color="auto"/>
            </w:tcBorders>
          </w:tcPr>
          <w:p w:rsidR="006131D4" w:rsidRPr="00291F4E" w:rsidRDefault="006131D4" w:rsidP="006131D4">
            <w:pPr>
              <w:rPr>
                <w:b/>
              </w:rPr>
            </w:pPr>
            <w:r w:rsidRPr="00291F4E">
              <w:rPr>
                <w:b/>
              </w:rPr>
              <w:t>FRPQ subscale</w:t>
            </w:r>
          </w:p>
          <w:p w:rsidR="006131D4" w:rsidRPr="00291F4E" w:rsidRDefault="006131D4" w:rsidP="006131D4">
            <w:pPr>
              <w:rPr>
                <w:b/>
              </w:rPr>
            </w:pPr>
          </w:p>
        </w:tc>
        <w:tc>
          <w:tcPr>
            <w:tcW w:w="4960" w:type="dxa"/>
            <w:tcBorders>
              <w:bottom w:val="single" w:sz="4" w:space="0" w:color="auto"/>
            </w:tcBorders>
          </w:tcPr>
          <w:p w:rsidR="006131D4" w:rsidRPr="00291F4E" w:rsidRDefault="006131D4" w:rsidP="006131D4">
            <w:pPr>
              <w:rPr>
                <w:b/>
              </w:rPr>
            </w:pPr>
            <w:r w:rsidRPr="00291F4E">
              <w:rPr>
                <w:b/>
              </w:rPr>
              <w:t>Bonferroni-corrected contrasts</w:t>
            </w:r>
            <w:r>
              <w:rPr>
                <w:b/>
              </w:rPr>
              <w:t xml:space="preserve"> (p&lt;0.05 after Bonferroni corrections)</w:t>
            </w:r>
          </w:p>
        </w:tc>
      </w:tr>
      <w:tr w:rsidR="006131D4" w:rsidTr="006131D4">
        <w:tc>
          <w:tcPr>
            <w:tcW w:w="3651" w:type="dxa"/>
          </w:tcPr>
          <w:p w:rsidR="006131D4" w:rsidRDefault="006131D4" w:rsidP="006131D4">
            <w:pPr>
              <w:rPr>
                <w:rFonts w:ascii="Cambria" w:hAnsi="Cambria"/>
              </w:rPr>
            </w:pPr>
            <w:r>
              <w:rPr>
                <w:rFonts w:ascii="Cambria" w:hAnsi="Cambria"/>
              </w:rPr>
              <w:t>Takes and stores food</w:t>
            </w:r>
          </w:p>
          <w:p w:rsidR="006131D4" w:rsidRDefault="006131D4" w:rsidP="006131D4">
            <w:pPr>
              <w:rPr>
                <w:rFonts w:ascii="Cambria" w:hAnsi="Cambria"/>
              </w:rPr>
            </w:pPr>
          </w:p>
          <w:p w:rsidR="006131D4" w:rsidRPr="00D51FC6" w:rsidRDefault="006131D4" w:rsidP="006131D4">
            <w:pPr>
              <w:rPr>
                <w:rFonts w:ascii="Cambria" w:hAnsi="Cambria"/>
                <w:sz w:val="18"/>
                <w:szCs w:val="18"/>
              </w:rPr>
            </w:pPr>
            <w:r w:rsidRPr="00D51FC6">
              <w:rPr>
                <w:rFonts w:ascii="Cambria" w:hAnsi="Cambria"/>
                <w:sz w:val="18"/>
                <w:szCs w:val="18"/>
              </w:rPr>
              <w:t>Significant effect of group *</w:t>
            </w:r>
            <w:r w:rsidRPr="00D51FC6">
              <w:rPr>
                <w:sz w:val="18"/>
                <w:szCs w:val="18"/>
                <w:vertAlign w:val="superscript"/>
              </w:rPr>
              <w:t xml:space="preserve"> µ</w:t>
            </w:r>
          </w:p>
        </w:tc>
        <w:tc>
          <w:tcPr>
            <w:tcW w:w="4960" w:type="dxa"/>
          </w:tcPr>
          <w:p w:rsidR="006131D4" w:rsidRDefault="006131D4" w:rsidP="006131D4">
            <w:r>
              <w:t>AS &gt; CdLS*</w:t>
            </w:r>
            <w:r w:rsidRPr="009C41D6">
              <w:rPr>
                <w:vertAlign w:val="superscript"/>
              </w:rPr>
              <w:t>µ</w:t>
            </w:r>
            <w:r>
              <w:t>; 1p36</w:t>
            </w:r>
            <w:r w:rsidRPr="009C41D6">
              <w:rPr>
                <w:vertAlign w:val="superscript"/>
              </w:rPr>
              <w:t>µ</w:t>
            </w:r>
          </w:p>
          <w:p w:rsidR="006131D4" w:rsidRDefault="006131D4" w:rsidP="006131D4">
            <w:r>
              <w:t>PWS &gt; CdLS*</w:t>
            </w:r>
            <w:r w:rsidRPr="009C41D6">
              <w:rPr>
                <w:vertAlign w:val="superscript"/>
              </w:rPr>
              <w:t>µ</w:t>
            </w:r>
            <w:r>
              <w:t>; 1p36*</w:t>
            </w:r>
            <w:r w:rsidRPr="009C41D6">
              <w:rPr>
                <w:vertAlign w:val="superscript"/>
              </w:rPr>
              <w:t>µ</w:t>
            </w:r>
          </w:p>
          <w:p w:rsidR="006131D4" w:rsidRDefault="006131D4" w:rsidP="006131D4"/>
        </w:tc>
      </w:tr>
      <w:tr w:rsidR="006131D4" w:rsidTr="006131D4">
        <w:tc>
          <w:tcPr>
            <w:tcW w:w="3651" w:type="dxa"/>
          </w:tcPr>
          <w:p w:rsidR="006131D4" w:rsidRDefault="006131D4" w:rsidP="006131D4">
            <w:pPr>
              <w:rPr>
                <w:rFonts w:ascii="Cambria" w:hAnsi="Cambria"/>
              </w:rPr>
            </w:pPr>
            <w:r>
              <w:rPr>
                <w:rFonts w:ascii="Cambria" w:hAnsi="Cambria"/>
              </w:rPr>
              <w:t>Eats inedible items</w:t>
            </w:r>
          </w:p>
          <w:p w:rsidR="006131D4" w:rsidRDefault="006131D4" w:rsidP="006131D4">
            <w:pPr>
              <w:rPr>
                <w:rFonts w:ascii="Cambria" w:hAnsi="Cambria"/>
              </w:rPr>
            </w:pPr>
          </w:p>
          <w:p w:rsidR="006131D4" w:rsidRPr="00D51FC6" w:rsidRDefault="006131D4" w:rsidP="006131D4">
            <w:pPr>
              <w:rPr>
                <w:rFonts w:ascii="Cambria" w:hAnsi="Cambria"/>
                <w:sz w:val="18"/>
                <w:szCs w:val="18"/>
              </w:rPr>
            </w:pPr>
            <w:r w:rsidRPr="00D51FC6">
              <w:rPr>
                <w:rFonts w:ascii="Cambria" w:hAnsi="Cambria"/>
                <w:sz w:val="18"/>
                <w:szCs w:val="18"/>
              </w:rPr>
              <w:t xml:space="preserve">Significant effect of group </w:t>
            </w:r>
            <w:r w:rsidRPr="00D51FC6">
              <w:rPr>
                <w:sz w:val="18"/>
                <w:szCs w:val="18"/>
                <w:vertAlign w:val="superscript"/>
              </w:rPr>
              <w:t xml:space="preserve"> µ</w:t>
            </w:r>
          </w:p>
        </w:tc>
        <w:tc>
          <w:tcPr>
            <w:tcW w:w="4960" w:type="dxa"/>
          </w:tcPr>
          <w:p w:rsidR="006131D4" w:rsidRDefault="006131D4" w:rsidP="006131D4">
            <w:r>
              <w:t>AS &gt; FXS*</w:t>
            </w:r>
            <w:r w:rsidRPr="0003365D">
              <w:rPr>
                <w:vertAlign w:val="superscript"/>
              </w:rPr>
              <w:t>α</w:t>
            </w:r>
          </w:p>
          <w:p w:rsidR="006131D4" w:rsidRDefault="006131D4" w:rsidP="006131D4"/>
        </w:tc>
      </w:tr>
      <w:tr w:rsidR="006131D4" w:rsidTr="006131D4">
        <w:tc>
          <w:tcPr>
            <w:tcW w:w="3651" w:type="dxa"/>
          </w:tcPr>
          <w:p w:rsidR="006131D4" w:rsidRDefault="006131D4" w:rsidP="006131D4">
            <w:pPr>
              <w:rPr>
                <w:rFonts w:ascii="Cambria" w:hAnsi="Cambria"/>
              </w:rPr>
            </w:pPr>
            <w:r>
              <w:rPr>
                <w:rFonts w:ascii="Cambria" w:hAnsi="Cambria"/>
              </w:rPr>
              <w:t>Composite negative behaviour</w:t>
            </w:r>
          </w:p>
          <w:p w:rsidR="006131D4" w:rsidRDefault="006131D4" w:rsidP="006131D4">
            <w:pPr>
              <w:rPr>
                <w:rFonts w:ascii="Cambria" w:hAnsi="Cambria"/>
              </w:rPr>
            </w:pPr>
          </w:p>
          <w:p w:rsidR="006131D4" w:rsidRPr="00D51FC6" w:rsidRDefault="006131D4" w:rsidP="006131D4">
            <w:pPr>
              <w:rPr>
                <w:rFonts w:ascii="Cambria" w:hAnsi="Cambria"/>
                <w:sz w:val="18"/>
                <w:szCs w:val="18"/>
              </w:rPr>
            </w:pPr>
            <w:r w:rsidRPr="00D51FC6">
              <w:rPr>
                <w:rFonts w:ascii="Cambria" w:hAnsi="Cambria"/>
                <w:sz w:val="18"/>
                <w:szCs w:val="18"/>
              </w:rPr>
              <w:t>Significant effect of group  *</w:t>
            </w:r>
            <w:r w:rsidRPr="00D51FC6">
              <w:rPr>
                <w:sz w:val="18"/>
                <w:szCs w:val="18"/>
                <w:vertAlign w:val="superscript"/>
              </w:rPr>
              <w:t xml:space="preserve"> µ</w:t>
            </w:r>
          </w:p>
        </w:tc>
        <w:tc>
          <w:tcPr>
            <w:tcW w:w="4960" w:type="dxa"/>
          </w:tcPr>
          <w:p w:rsidR="006131D4" w:rsidRDefault="006131D4" w:rsidP="006131D4">
            <w:r>
              <w:t>AS &gt; CdLS*</w:t>
            </w:r>
            <w:r w:rsidRPr="009C41D6">
              <w:rPr>
                <w:vertAlign w:val="superscript"/>
              </w:rPr>
              <w:t>µ</w:t>
            </w:r>
            <w:r>
              <w:t>; 1p36</w:t>
            </w:r>
            <w:r w:rsidRPr="009C41D6">
              <w:rPr>
                <w:vertAlign w:val="superscript"/>
              </w:rPr>
              <w:t>µ</w:t>
            </w:r>
          </w:p>
          <w:p w:rsidR="006131D4" w:rsidRDefault="006131D4" w:rsidP="006131D4">
            <w:r>
              <w:t>PWS &gt; CdLS</w:t>
            </w:r>
            <w:r w:rsidRPr="009C41D6">
              <w:rPr>
                <w:vertAlign w:val="superscript"/>
              </w:rPr>
              <w:t>µ</w:t>
            </w:r>
            <w:r>
              <w:t>; 1p36</w:t>
            </w:r>
            <w:r w:rsidRPr="0015500B">
              <w:rPr>
                <w:vertAlign w:val="superscript"/>
              </w:rPr>
              <w:sym w:font="Symbol" w:char="F067"/>
            </w:r>
            <w:r>
              <w:rPr>
                <w:vertAlign w:val="superscript"/>
              </w:rPr>
              <w:t xml:space="preserve"> </w:t>
            </w:r>
          </w:p>
          <w:p w:rsidR="006131D4" w:rsidRDefault="006131D4" w:rsidP="006131D4"/>
        </w:tc>
      </w:tr>
      <w:tr w:rsidR="006131D4" w:rsidRPr="00984E33" w:rsidTr="006131D4">
        <w:tc>
          <w:tcPr>
            <w:tcW w:w="3651" w:type="dxa"/>
          </w:tcPr>
          <w:p w:rsidR="006131D4" w:rsidRDefault="006131D4" w:rsidP="006131D4">
            <w:pPr>
              <w:rPr>
                <w:rFonts w:ascii="Cambria" w:hAnsi="Cambria"/>
              </w:rPr>
            </w:pPr>
            <w:r w:rsidRPr="00984E33">
              <w:rPr>
                <w:rFonts w:ascii="Cambria" w:hAnsi="Cambria"/>
              </w:rPr>
              <w:t>Impaired satiety</w:t>
            </w:r>
          </w:p>
          <w:p w:rsidR="006131D4" w:rsidRDefault="006131D4" w:rsidP="006131D4">
            <w:pPr>
              <w:rPr>
                <w:rFonts w:ascii="Cambria" w:hAnsi="Cambria"/>
              </w:rPr>
            </w:pPr>
          </w:p>
          <w:p w:rsidR="006131D4" w:rsidRPr="00D51FC6" w:rsidRDefault="006131D4" w:rsidP="006131D4">
            <w:pPr>
              <w:rPr>
                <w:rFonts w:ascii="Cambria" w:hAnsi="Cambria"/>
                <w:sz w:val="18"/>
                <w:szCs w:val="18"/>
              </w:rPr>
            </w:pPr>
            <w:r w:rsidRPr="00D51FC6">
              <w:rPr>
                <w:rFonts w:ascii="Cambria" w:hAnsi="Cambria"/>
                <w:sz w:val="18"/>
                <w:szCs w:val="18"/>
              </w:rPr>
              <w:t>Significant effect of group *</w:t>
            </w:r>
            <w:r w:rsidRPr="00D51FC6">
              <w:rPr>
                <w:sz w:val="18"/>
                <w:szCs w:val="18"/>
                <w:vertAlign w:val="superscript"/>
              </w:rPr>
              <w:t xml:space="preserve"> µ</w:t>
            </w:r>
          </w:p>
        </w:tc>
        <w:tc>
          <w:tcPr>
            <w:tcW w:w="4960" w:type="dxa"/>
          </w:tcPr>
          <w:p w:rsidR="006131D4" w:rsidRDefault="006131D4" w:rsidP="006131D4">
            <w:r>
              <w:t>AS &gt; CdLS</w:t>
            </w:r>
          </w:p>
          <w:p w:rsidR="006131D4" w:rsidRDefault="006131D4" w:rsidP="006131D4">
            <w:r>
              <w:t>PWS &gt; CdLS*</w:t>
            </w:r>
            <w:r w:rsidRPr="009C41D6">
              <w:rPr>
                <w:vertAlign w:val="superscript"/>
              </w:rPr>
              <w:t>µ</w:t>
            </w:r>
            <w:r>
              <w:t>; 1p36</w:t>
            </w:r>
            <w:r w:rsidRPr="0015500B">
              <w:rPr>
                <w:vertAlign w:val="superscript"/>
              </w:rPr>
              <w:sym w:font="Symbol" w:char="F067"/>
            </w:r>
            <w:r>
              <w:t>; AS</w:t>
            </w:r>
            <w:r w:rsidRPr="0015500B">
              <w:rPr>
                <w:vertAlign w:val="superscript"/>
              </w:rPr>
              <w:sym w:font="Symbol" w:char="F067"/>
            </w:r>
            <w:r>
              <w:t>; FXS</w:t>
            </w:r>
            <w:r w:rsidRPr="0003365D">
              <w:rPr>
                <w:vertAlign w:val="superscript"/>
              </w:rPr>
              <w:t>α</w:t>
            </w:r>
          </w:p>
          <w:p w:rsidR="006131D4" w:rsidRPr="00984E33" w:rsidRDefault="006131D4" w:rsidP="006131D4"/>
        </w:tc>
      </w:tr>
      <w:tr w:rsidR="006131D4" w:rsidRPr="00984E33" w:rsidTr="006131D4">
        <w:tc>
          <w:tcPr>
            <w:tcW w:w="3651" w:type="dxa"/>
          </w:tcPr>
          <w:p w:rsidR="006131D4" w:rsidRDefault="006131D4" w:rsidP="006131D4">
            <w:r>
              <w:t>Preoccupation with food</w:t>
            </w:r>
          </w:p>
          <w:p w:rsidR="006131D4" w:rsidRDefault="006131D4" w:rsidP="006131D4"/>
          <w:p w:rsidR="006131D4" w:rsidRPr="00D51FC6" w:rsidRDefault="006131D4" w:rsidP="006131D4">
            <w:pPr>
              <w:rPr>
                <w:sz w:val="18"/>
                <w:szCs w:val="18"/>
              </w:rPr>
            </w:pPr>
            <w:r w:rsidRPr="00D51FC6">
              <w:rPr>
                <w:sz w:val="18"/>
                <w:szCs w:val="18"/>
              </w:rPr>
              <w:t>Significant effect of group *</w:t>
            </w:r>
            <w:r w:rsidRPr="00D51FC6">
              <w:rPr>
                <w:sz w:val="18"/>
                <w:szCs w:val="18"/>
                <w:vertAlign w:val="superscript"/>
              </w:rPr>
              <w:t xml:space="preserve"> µ</w:t>
            </w:r>
          </w:p>
        </w:tc>
        <w:tc>
          <w:tcPr>
            <w:tcW w:w="4960" w:type="dxa"/>
          </w:tcPr>
          <w:p w:rsidR="006131D4" w:rsidRPr="00DC1637" w:rsidRDefault="006131D4" w:rsidP="006131D4">
            <w:r>
              <w:t>AS &gt; CdLS</w:t>
            </w:r>
            <w:r w:rsidRPr="009C41D6">
              <w:rPr>
                <w:vertAlign w:val="superscript"/>
              </w:rPr>
              <w:t>µ</w:t>
            </w:r>
            <w:r>
              <w:t xml:space="preserve">, </w:t>
            </w:r>
          </w:p>
          <w:p w:rsidR="006131D4" w:rsidRDefault="006131D4" w:rsidP="006131D4">
            <w:r>
              <w:t>PWS &gt; CdLS</w:t>
            </w:r>
            <w:r>
              <w:rPr>
                <w:vertAlign w:val="superscript"/>
              </w:rPr>
              <w:t>*</w:t>
            </w:r>
            <w:r w:rsidRPr="009C41D6">
              <w:rPr>
                <w:vertAlign w:val="superscript"/>
              </w:rPr>
              <w:t>µ</w:t>
            </w:r>
            <w:r>
              <w:t>; 1p36</w:t>
            </w:r>
            <w:r>
              <w:rPr>
                <w:vertAlign w:val="superscript"/>
              </w:rPr>
              <w:t>*</w:t>
            </w:r>
            <w:r w:rsidRPr="009C41D6">
              <w:rPr>
                <w:vertAlign w:val="superscript"/>
              </w:rPr>
              <w:t>µ</w:t>
            </w:r>
            <w:r>
              <w:t>; AS</w:t>
            </w:r>
            <w:r>
              <w:rPr>
                <w:vertAlign w:val="superscript"/>
              </w:rPr>
              <w:t>*</w:t>
            </w:r>
            <w:r w:rsidRPr="009C41D6">
              <w:rPr>
                <w:vertAlign w:val="superscript"/>
              </w:rPr>
              <w:t>µ</w:t>
            </w:r>
            <w:r>
              <w:t>; FXS</w:t>
            </w:r>
            <w:r w:rsidRPr="009C41D6">
              <w:rPr>
                <w:vertAlign w:val="superscript"/>
              </w:rPr>
              <w:t>µ</w:t>
            </w:r>
          </w:p>
          <w:p w:rsidR="006131D4" w:rsidRPr="00984E33" w:rsidRDefault="006131D4" w:rsidP="006131D4">
            <w:r>
              <w:t xml:space="preserve"> </w:t>
            </w:r>
          </w:p>
        </w:tc>
      </w:tr>
    </w:tbl>
    <w:p w:rsidR="00BD0108" w:rsidRPr="00436307" w:rsidRDefault="00BD0108" w:rsidP="000157C4">
      <w:pPr>
        <w:pStyle w:val="NormalWeb"/>
        <w:spacing w:line="480" w:lineRule="auto"/>
        <w:ind w:left="480" w:hanging="480"/>
        <w:rPr>
          <w:rFonts w:ascii="Cambria" w:hAnsi="Cambria"/>
          <w:noProof/>
        </w:rPr>
      </w:pPr>
    </w:p>
    <w:p w:rsidR="00DC2B31" w:rsidRPr="006131D4" w:rsidRDefault="00BD0108" w:rsidP="006131D4">
      <w:pPr>
        <w:pStyle w:val="NormalWeb"/>
        <w:ind w:left="480" w:hanging="480"/>
        <w:rPr>
          <w:rFonts w:ascii="Cambria" w:hAnsi="Cambria" w:cs="Cambria"/>
          <w:lang w:val="en"/>
        </w:rPr>
        <w:sectPr w:rsidR="00DC2B31" w:rsidRPr="006131D4" w:rsidSect="000251BC">
          <w:pgSz w:w="11906" w:h="16838"/>
          <w:pgMar w:top="1440" w:right="1440" w:bottom="1440" w:left="1440" w:header="708" w:footer="708" w:gutter="0"/>
          <w:cols w:space="708"/>
          <w:docGrid w:linePitch="360"/>
        </w:sectPr>
      </w:pPr>
      <w:r>
        <w:rPr>
          <w:rFonts w:ascii="Cambria" w:hAnsi="Cambria" w:cs="Cambria"/>
          <w:lang w:val="en"/>
        </w:rPr>
        <w:br w:type="page"/>
      </w:r>
    </w:p>
    <w:p w:rsidR="006A2C1F" w:rsidRPr="006A2C1F" w:rsidRDefault="006A2C1F" w:rsidP="006131D4">
      <w:pPr>
        <w:spacing w:after="200" w:line="276" w:lineRule="auto"/>
        <w:rPr>
          <w:rFonts w:ascii="Cambria" w:hAnsi="Cambria"/>
          <w:b/>
        </w:rPr>
      </w:pPr>
    </w:p>
    <w:sectPr w:rsidR="006A2C1F" w:rsidRPr="006A2C1F" w:rsidSect="00AA09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D3" w:rsidRDefault="00E970D3" w:rsidP="00C266B7">
      <w:r>
        <w:separator/>
      </w:r>
    </w:p>
  </w:endnote>
  <w:endnote w:type="continuationSeparator" w:id="0">
    <w:p w:rsidR="00E970D3" w:rsidRDefault="00E970D3" w:rsidP="00C2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D3" w:rsidRDefault="00E970D3" w:rsidP="00C266B7">
      <w:r>
        <w:separator/>
      </w:r>
    </w:p>
  </w:footnote>
  <w:footnote w:type="continuationSeparator" w:id="0">
    <w:p w:rsidR="00E970D3" w:rsidRDefault="00E970D3" w:rsidP="00C2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DD" w:rsidRDefault="00E233DD">
    <w:pPr>
      <w:pStyle w:val="Header"/>
      <w:jc w:val="right"/>
    </w:pPr>
    <w:r>
      <w:fldChar w:fldCharType="begin"/>
    </w:r>
    <w:r>
      <w:instrText xml:space="preserve"> PAGE   \* MERGEFORMAT </w:instrText>
    </w:r>
    <w:r>
      <w:fldChar w:fldCharType="separate"/>
    </w:r>
    <w:r w:rsidR="006131D4">
      <w:rPr>
        <w:noProof/>
      </w:rPr>
      <w:t>2</w:t>
    </w:r>
    <w:r>
      <w:fldChar w:fldCharType="end"/>
    </w:r>
  </w:p>
  <w:p w:rsidR="00E233DD" w:rsidRDefault="00E23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D4" w:rsidRDefault="006131D4">
    <w:pPr>
      <w:pStyle w:val="Header"/>
      <w:jc w:val="right"/>
    </w:pPr>
    <w:r>
      <w:fldChar w:fldCharType="begin"/>
    </w:r>
    <w:r>
      <w:instrText xml:space="preserve"> PAGE   \* MERGEFORMAT </w:instrText>
    </w:r>
    <w:r>
      <w:fldChar w:fldCharType="separate"/>
    </w:r>
    <w:r>
      <w:rPr>
        <w:noProof/>
      </w:rPr>
      <w:t>24</w:t>
    </w:r>
    <w:r>
      <w:fldChar w:fldCharType="end"/>
    </w:r>
  </w:p>
  <w:p w:rsidR="006131D4" w:rsidRDefault="00613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D4" w:rsidRDefault="006131D4">
    <w:pPr>
      <w:pStyle w:val="Header"/>
      <w:jc w:val="right"/>
    </w:pPr>
    <w:r>
      <w:fldChar w:fldCharType="begin"/>
    </w:r>
    <w:r>
      <w:instrText xml:space="preserve"> PAGE   \* MERGEFORMAT </w:instrText>
    </w:r>
    <w:r>
      <w:fldChar w:fldCharType="separate"/>
    </w:r>
    <w:r>
      <w:rPr>
        <w:noProof/>
      </w:rPr>
      <w:t>25</w:t>
    </w:r>
    <w:r>
      <w:fldChar w:fldCharType="end"/>
    </w:r>
  </w:p>
  <w:p w:rsidR="006131D4" w:rsidRDefault="0061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65D"/>
    <w:multiLevelType w:val="hybridMultilevel"/>
    <w:tmpl w:val="ECBC6950"/>
    <w:lvl w:ilvl="0" w:tplc="08090017">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366DD"/>
    <w:multiLevelType w:val="hybridMultilevel"/>
    <w:tmpl w:val="DB6E92D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3E3960"/>
    <w:multiLevelType w:val="hybridMultilevel"/>
    <w:tmpl w:val="E89EB77E"/>
    <w:lvl w:ilvl="0" w:tplc="061E1EA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0D6ED6"/>
    <w:multiLevelType w:val="hybridMultilevel"/>
    <w:tmpl w:val="BC9AF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273FF3"/>
    <w:multiLevelType w:val="hybridMultilevel"/>
    <w:tmpl w:val="C46ACF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B15C94"/>
    <w:multiLevelType w:val="hybridMultilevel"/>
    <w:tmpl w:val="00D8AB4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8B"/>
    <w:rsid w:val="00001B36"/>
    <w:rsid w:val="00003255"/>
    <w:rsid w:val="000076A3"/>
    <w:rsid w:val="000126E0"/>
    <w:rsid w:val="00014A45"/>
    <w:rsid w:val="000150AA"/>
    <w:rsid w:val="000157C4"/>
    <w:rsid w:val="00021BAF"/>
    <w:rsid w:val="0002466B"/>
    <w:rsid w:val="000251BC"/>
    <w:rsid w:val="0003059F"/>
    <w:rsid w:val="0003063C"/>
    <w:rsid w:val="0003357B"/>
    <w:rsid w:val="00044C88"/>
    <w:rsid w:val="00050F8B"/>
    <w:rsid w:val="00056094"/>
    <w:rsid w:val="00057852"/>
    <w:rsid w:val="00060F61"/>
    <w:rsid w:val="00061154"/>
    <w:rsid w:val="00061329"/>
    <w:rsid w:val="00064F23"/>
    <w:rsid w:val="00067CD7"/>
    <w:rsid w:val="0007045A"/>
    <w:rsid w:val="00071B3D"/>
    <w:rsid w:val="000720B3"/>
    <w:rsid w:val="00074792"/>
    <w:rsid w:val="00083587"/>
    <w:rsid w:val="000847D9"/>
    <w:rsid w:val="00097C8A"/>
    <w:rsid w:val="000A5016"/>
    <w:rsid w:val="000A69BB"/>
    <w:rsid w:val="000B02D3"/>
    <w:rsid w:val="000B08E9"/>
    <w:rsid w:val="000B2D16"/>
    <w:rsid w:val="000B5296"/>
    <w:rsid w:val="000B53D4"/>
    <w:rsid w:val="000B5C4B"/>
    <w:rsid w:val="000B6AC6"/>
    <w:rsid w:val="000B71A9"/>
    <w:rsid w:val="000B75E8"/>
    <w:rsid w:val="000C03F6"/>
    <w:rsid w:val="000C574C"/>
    <w:rsid w:val="000C5B1C"/>
    <w:rsid w:val="000C5F23"/>
    <w:rsid w:val="000C6FE8"/>
    <w:rsid w:val="000D1C7C"/>
    <w:rsid w:val="000D552F"/>
    <w:rsid w:val="000E35B9"/>
    <w:rsid w:val="000E68DE"/>
    <w:rsid w:val="000F04C3"/>
    <w:rsid w:val="000F4161"/>
    <w:rsid w:val="000F598D"/>
    <w:rsid w:val="00100575"/>
    <w:rsid w:val="00104405"/>
    <w:rsid w:val="00106250"/>
    <w:rsid w:val="001143D3"/>
    <w:rsid w:val="0011497D"/>
    <w:rsid w:val="00116586"/>
    <w:rsid w:val="00116E58"/>
    <w:rsid w:val="0012049E"/>
    <w:rsid w:val="001212FE"/>
    <w:rsid w:val="00123A86"/>
    <w:rsid w:val="001243A0"/>
    <w:rsid w:val="00130906"/>
    <w:rsid w:val="0013197C"/>
    <w:rsid w:val="00132159"/>
    <w:rsid w:val="00134750"/>
    <w:rsid w:val="001373C5"/>
    <w:rsid w:val="00137B80"/>
    <w:rsid w:val="00137E88"/>
    <w:rsid w:val="0014095D"/>
    <w:rsid w:val="001409DD"/>
    <w:rsid w:val="001441FF"/>
    <w:rsid w:val="00144460"/>
    <w:rsid w:val="0014452C"/>
    <w:rsid w:val="00144EF7"/>
    <w:rsid w:val="00146D4C"/>
    <w:rsid w:val="001535B6"/>
    <w:rsid w:val="0015546E"/>
    <w:rsid w:val="001615D4"/>
    <w:rsid w:val="001676EE"/>
    <w:rsid w:val="001714B1"/>
    <w:rsid w:val="00176636"/>
    <w:rsid w:val="00186EA5"/>
    <w:rsid w:val="0018737A"/>
    <w:rsid w:val="0019117D"/>
    <w:rsid w:val="001961D2"/>
    <w:rsid w:val="00196FE5"/>
    <w:rsid w:val="001B1382"/>
    <w:rsid w:val="001B4E5F"/>
    <w:rsid w:val="001C15AF"/>
    <w:rsid w:val="001D3456"/>
    <w:rsid w:val="001D3C63"/>
    <w:rsid w:val="001D5541"/>
    <w:rsid w:val="001D6CA2"/>
    <w:rsid w:val="001D7A25"/>
    <w:rsid w:val="001E15BE"/>
    <w:rsid w:val="001F1CBB"/>
    <w:rsid w:val="001F35C9"/>
    <w:rsid w:val="001F6248"/>
    <w:rsid w:val="001F7F77"/>
    <w:rsid w:val="00200207"/>
    <w:rsid w:val="0020366D"/>
    <w:rsid w:val="00205D1E"/>
    <w:rsid w:val="00214084"/>
    <w:rsid w:val="00214DBD"/>
    <w:rsid w:val="00216B88"/>
    <w:rsid w:val="00216EE3"/>
    <w:rsid w:val="00224893"/>
    <w:rsid w:val="00225DBF"/>
    <w:rsid w:val="00227757"/>
    <w:rsid w:val="00227C9A"/>
    <w:rsid w:val="002332E5"/>
    <w:rsid w:val="00234F4B"/>
    <w:rsid w:val="00236B39"/>
    <w:rsid w:val="002421C1"/>
    <w:rsid w:val="0024301E"/>
    <w:rsid w:val="00246E60"/>
    <w:rsid w:val="002471D9"/>
    <w:rsid w:val="00247DB9"/>
    <w:rsid w:val="00255502"/>
    <w:rsid w:val="002631EB"/>
    <w:rsid w:val="0026507D"/>
    <w:rsid w:val="00265B2D"/>
    <w:rsid w:val="0026617F"/>
    <w:rsid w:val="002725F3"/>
    <w:rsid w:val="0027782D"/>
    <w:rsid w:val="00277B6B"/>
    <w:rsid w:val="00284190"/>
    <w:rsid w:val="0029287D"/>
    <w:rsid w:val="0029503E"/>
    <w:rsid w:val="00296021"/>
    <w:rsid w:val="002A2B9D"/>
    <w:rsid w:val="002A3801"/>
    <w:rsid w:val="002A5597"/>
    <w:rsid w:val="002A670E"/>
    <w:rsid w:val="002A795B"/>
    <w:rsid w:val="002B1779"/>
    <w:rsid w:val="002B63B7"/>
    <w:rsid w:val="002B71F5"/>
    <w:rsid w:val="002C38ED"/>
    <w:rsid w:val="002C54C7"/>
    <w:rsid w:val="002C5537"/>
    <w:rsid w:val="002D4EB8"/>
    <w:rsid w:val="002E45D4"/>
    <w:rsid w:val="002E6F05"/>
    <w:rsid w:val="002F0573"/>
    <w:rsid w:val="002F3184"/>
    <w:rsid w:val="002F643E"/>
    <w:rsid w:val="00300306"/>
    <w:rsid w:val="00302DA8"/>
    <w:rsid w:val="00306AA3"/>
    <w:rsid w:val="00307350"/>
    <w:rsid w:val="00311F33"/>
    <w:rsid w:val="003121F2"/>
    <w:rsid w:val="00313B0B"/>
    <w:rsid w:val="00315D09"/>
    <w:rsid w:val="00316868"/>
    <w:rsid w:val="00316B0F"/>
    <w:rsid w:val="00320C34"/>
    <w:rsid w:val="003257A2"/>
    <w:rsid w:val="003260EA"/>
    <w:rsid w:val="00333B29"/>
    <w:rsid w:val="00334D97"/>
    <w:rsid w:val="00336637"/>
    <w:rsid w:val="0034260F"/>
    <w:rsid w:val="003505CD"/>
    <w:rsid w:val="00352338"/>
    <w:rsid w:val="0035500E"/>
    <w:rsid w:val="0035512C"/>
    <w:rsid w:val="00362659"/>
    <w:rsid w:val="00362735"/>
    <w:rsid w:val="00363670"/>
    <w:rsid w:val="003636CC"/>
    <w:rsid w:val="00364C2E"/>
    <w:rsid w:val="003723DC"/>
    <w:rsid w:val="003755AD"/>
    <w:rsid w:val="00381925"/>
    <w:rsid w:val="00386534"/>
    <w:rsid w:val="0039161F"/>
    <w:rsid w:val="003916DE"/>
    <w:rsid w:val="00391CE0"/>
    <w:rsid w:val="00391E4E"/>
    <w:rsid w:val="00396B57"/>
    <w:rsid w:val="003A0DDC"/>
    <w:rsid w:val="003A103B"/>
    <w:rsid w:val="003A5858"/>
    <w:rsid w:val="003B5720"/>
    <w:rsid w:val="003C3063"/>
    <w:rsid w:val="003C4FAE"/>
    <w:rsid w:val="003D089E"/>
    <w:rsid w:val="003D49F0"/>
    <w:rsid w:val="003D7FA8"/>
    <w:rsid w:val="003E1926"/>
    <w:rsid w:val="003E3E7F"/>
    <w:rsid w:val="003E5C6E"/>
    <w:rsid w:val="003F2715"/>
    <w:rsid w:val="003F5CCA"/>
    <w:rsid w:val="003F60CD"/>
    <w:rsid w:val="003F6595"/>
    <w:rsid w:val="003F6E56"/>
    <w:rsid w:val="003F712A"/>
    <w:rsid w:val="00401219"/>
    <w:rsid w:val="00403D5F"/>
    <w:rsid w:val="004058D4"/>
    <w:rsid w:val="004064D8"/>
    <w:rsid w:val="00406541"/>
    <w:rsid w:val="00406AB9"/>
    <w:rsid w:val="00407041"/>
    <w:rsid w:val="00421A2C"/>
    <w:rsid w:val="00423E43"/>
    <w:rsid w:val="004255C8"/>
    <w:rsid w:val="00427B5C"/>
    <w:rsid w:val="00432179"/>
    <w:rsid w:val="00432440"/>
    <w:rsid w:val="00435671"/>
    <w:rsid w:val="00440170"/>
    <w:rsid w:val="004433DC"/>
    <w:rsid w:val="00447CDC"/>
    <w:rsid w:val="00455F38"/>
    <w:rsid w:val="004603E2"/>
    <w:rsid w:val="004627CE"/>
    <w:rsid w:val="00465BFD"/>
    <w:rsid w:val="00466FE2"/>
    <w:rsid w:val="00467EAF"/>
    <w:rsid w:val="00471563"/>
    <w:rsid w:val="00472B15"/>
    <w:rsid w:val="00480AD4"/>
    <w:rsid w:val="004843EF"/>
    <w:rsid w:val="00485F50"/>
    <w:rsid w:val="00491C90"/>
    <w:rsid w:val="00492F97"/>
    <w:rsid w:val="00496202"/>
    <w:rsid w:val="0049796E"/>
    <w:rsid w:val="004A2674"/>
    <w:rsid w:val="004A6F63"/>
    <w:rsid w:val="004B04D8"/>
    <w:rsid w:val="004B5939"/>
    <w:rsid w:val="004B6281"/>
    <w:rsid w:val="004C2D69"/>
    <w:rsid w:val="004D10A3"/>
    <w:rsid w:val="004D6307"/>
    <w:rsid w:val="004D6876"/>
    <w:rsid w:val="004E3302"/>
    <w:rsid w:val="004E4077"/>
    <w:rsid w:val="004F3966"/>
    <w:rsid w:val="004F4BF0"/>
    <w:rsid w:val="004F629A"/>
    <w:rsid w:val="004F72CD"/>
    <w:rsid w:val="0050213B"/>
    <w:rsid w:val="005024CC"/>
    <w:rsid w:val="00514D97"/>
    <w:rsid w:val="00515581"/>
    <w:rsid w:val="00515FFE"/>
    <w:rsid w:val="005172D3"/>
    <w:rsid w:val="0052020E"/>
    <w:rsid w:val="00520F3F"/>
    <w:rsid w:val="00523515"/>
    <w:rsid w:val="005304F8"/>
    <w:rsid w:val="0053500B"/>
    <w:rsid w:val="005377C9"/>
    <w:rsid w:val="005425AA"/>
    <w:rsid w:val="00542D58"/>
    <w:rsid w:val="00543F90"/>
    <w:rsid w:val="00544063"/>
    <w:rsid w:val="00553D0C"/>
    <w:rsid w:val="005575B6"/>
    <w:rsid w:val="00561B4F"/>
    <w:rsid w:val="00564BEF"/>
    <w:rsid w:val="00565020"/>
    <w:rsid w:val="005708CF"/>
    <w:rsid w:val="00571C5C"/>
    <w:rsid w:val="00583B81"/>
    <w:rsid w:val="00585A9F"/>
    <w:rsid w:val="00590CD2"/>
    <w:rsid w:val="005917AC"/>
    <w:rsid w:val="005918F0"/>
    <w:rsid w:val="005A0F80"/>
    <w:rsid w:val="005A1EE5"/>
    <w:rsid w:val="005A441F"/>
    <w:rsid w:val="005A6ADB"/>
    <w:rsid w:val="005B48A0"/>
    <w:rsid w:val="005B5ECE"/>
    <w:rsid w:val="005B7BD1"/>
    <w:rsid w:val="005C30C8"/>
    <w:rsid w:val="005D05DD"/>
    <w:rsid w:val="005D1BDA"/>
    <w:rsid w:val="005D6185"/>
    <w:rsid w:val="005E13D2"/>
    <w:rsid w:val="005E261C"/>
    <w:rsid w:val="005E5408"/>
    <w:rsid w:val="005E5F5E"/>
    <w:rsid w:val="005E63CC"/>
    <w:rsid w:val="005F258A"/>
    <w:rsid w:val="005F3664"/>
    <w:rsid w:val="00605A92"/>
    <w:rsid w:val="00605AD7"/>
    <w:rsid w:val="0060668B"/>
    <w:rsid w:val="00610FE1"/>
    <w:rsid w:val="006131D4"/>
    <w:rsid w:val="00615EE6"/>
    <w:rsid w:val="00620CE6"/>
    <w:rsid w:val="006233AF"/>
    <w:rsid w:val="00623D17"/>
    <w:rsid w:val="006244AB"/>
    <w:rsid w:val="00624578"/>
    <w:rsid w:val="00626992"/>
    <w:rsid w:val="006312F8"/>
    <w:rsid w:val="00632E0D"/>
    <w:rsid w:val="006409D3"/>
    <w:rsid w:val="00642190"/>
    <w:rsid w:val="0064233D"/>
    <w:rsid w:val="00646A22"/>
    <w:rsid w:val="0064767F"/>
    <w:rsid w:val="00651147"/>
    <w:rsid w:val="00652BE0"/>
    <w:rsid w:val="006602BE"/>
    <w:rsid w:val="00660300"/>
    <w:rsid w:val="00660344"/>
    <w:rsid w:val="006605A3"/>
    <w:rsid w:val="00662B49"/>
    <w:rsid w:val="00664701"/>
    <w:rsid w:val="00667072"/>
    <w:rsid w:val="0067366E"/>
    <w:rsid w:val="00673737"/>
    <w:rsid w:val="006763CD"/>
    <w:rsid w:val="00677975"/>
    <w:rsid w:val="00680BE8"/>
    <w:rsid w:val="00681DD2"/>
    <w:rsid w:val="0068302E"/>
    <w:rsid w:val="006852AA"/>
    <w:rsid w:val="00691575"/>
    <w:rsid w:val="006919E7"/>
    <w:rsid w:val="006919EA"/>
    <w:rsid w:val="006928F2"/>
    <w:rsid w:val="00692A45"/>
    <w:rsid w:val="0069512F"/>
    <w:rsid w:val="006A2B08"/>
    <w:rsid w:val="006A2C1F"/>
    <w:rsid w:val="006A562A"/>
    <w:rsid w:val="006A66AE"/>
    <w:rsid w:val="006A7B8F"/>
    <w:rsid w:val="006B1C6B"/>
    <w:rsid w:val="006B3CE4"/>
    <w:rsid w:val="006B67CE"/>
    <w:rsid w:val="006B70BC"/>
    <w:rsid w:val="006C3FCF"/>
    <w:rsid w:val="006C40D6"/>
    <w:rsid w:val="006C66C6"/>
    <w:rsid w:val="006C72E3"/>
    <w:rsid w:val="006D0190"/>
    <w:rsid w:val="006D5158"/>
    <w:rsid w:val="006E1885"/>
    <w:rsid w:val="006E45E4"/>
    <w:rsid w:val="006E6032"/>
    <w:rsid w:val="006E6FDF"/>
    <w:rsid w:val="006F0480"/>
    <w:rsid w:val="006F3803"/>
    <w:rsid w:val="006F59E2"/>
    <w:rsid w:val="006F77D0"/>
    <w:rsid w:val="007016BD"/>
    <w:rsid w:val="00710AC8"/>
    <w:rsid w:val="00712CB7"/>
    <w:rsid w:val="00714910"/>
    <w:rsid w:val="00715CA1"/>
    <w:rsid w:val="00716500"/>
    <w:rsid w:val="00723D46"/>
    <w:rsid w:val="00725BC2"/>
    <w:rsid w:val="007301AA"/>
    <w:rsid w:val="00732D06"/>
    <w:rsid w:val="00734E95"/>
    <w:rsid w:val="0074058F"/>
    <w:rsid w:val="007422D1"/>
    <w:rsid w:val="00742C2E"/>
    <w:rsid w:val="0074356A"/>
    <w:rsid w:val="00746557"/>
    <w:rsid w:val="00747FCF"/>
    <w:rsid w:val="00754F61"/>
    <w:rsid w:val="00755EDF"/>
    <w:rsid w:val="00755F34"/>
    <w:rsid w:val="00761E84"/>
    <w:rsid w:val="007721DA"/>
    <w:rsid w:val="007825E3"/>
    <w:rsid w:val="00783CD3"/>
    <w:rsid w:val="00787AF8"/>
    <w:rsid w:val="00790501"/>
    <w:rsid w:val="00792EE0"/>
    <w:rsid w:val="00796C77"/>
    <w:rsid w:val="007A1DA0"/>
    <w:rsid w:val="007A1EB4"/>
    <w:rsid w:val="007A2B8E"/>
    <w:rsid w:val="007A2F61"/>
    <w:rsid w:val="007A44AD"/>
    <w:rsid w:val="007A6917"/>
    <w:rsid w:val="007B42B0"/>
    <w:rsid w:val="007C41BD"/>
    <w:rsid w:val="007C4503"/>
    <w:rsid w:val="007C4F3E"/>
    <w:rsid w:val="007C6DED"/>
    <w:rsid w:val="007C7A5C"/>
    <w:rsid w:val="007D262E"/>
    <w:rsid w:val="007D4508"/>
    <w:rsid w:val="007D630A"/>
    <w:rsid w:val="007D70E2"/>
    <w:rsid w:val="007D77BE"/>
    <w:rsid w:val="007E2AEB"/>
    <w:rsid w:val="007E4C83"/>
    <w:rsid w:val="007E607C"/>
    <w:rsid w:val="007F30A5"/>
    <w:rsid w:val="007F4323"/>
    <w:rsid w:val="00804544"/>
    <w:rsid w:val="00807B08"/>
    <w:rsid w:val="00810A53"/>
    <w:rsid w:val="00821286"/>
    <w:rsid w:val="008226E7"/>
    <w:rsid w:val="00823ED8"/>
    <w:rsid w:val="008241E2"/>
    <w:rsid w:val="00824A70"/>
    <w:rsid w:val="00833FBD"/>
    <w:rsid w:val="00834F49"/>
    <w:rsid w:val="00836CCD"/>
    <w:rsid w:val="00842496"/>
    <w:rsid w:val="0085029B"/>
    <w:rsid w:val="008504AB"/>
    <w:rsid w:val="00850C37"/>
    <w:rsid w:val="008518D0"/>
    <w:rsid w:val="00854520"/>
    <w:rsid w:val="00855E48"/>
    <w:rsid w:val="00856D36"/>
    <w:rsid w:val="00863F0A"/>
    <w:rsid w:val="00864934"/>
    <w:rsid w:val="00871FA8"/>
    <w:rsid w:val="00872CDD"/>
    <w:rsid w:val="008758D6"/>
    <w:rsid w:val="00876FE0"/>
    <w:rsid w:val="00882CBC"/>
    <w:rsid w:val="008834D2"/>
    <w:rsid w:val="00886CAC"/>
    <w:rsid w:val="00887D08"/>
    <w:rsid w:val="0089081C"/>
    <w:rsid w:val="00891F54"/>
    <w:rsid w:val="008A71DC"/>
    <w:rsid w:val="008B01B6"/>
    <w:rsid w:val="008B3C5C"/>
    <w:rsid w:val="008C1B0D"/>
    <w:rsid w:val="008C3D21"/>
    <w:rsid w:val="008C6445"/>
    <w:rsid w:val="008D12DE"/>
    <w:rsid w:val="008D31DC"/>
    <w:rsid w:val="008E0653"/>
    <w:rsid w:val="008E3DE0"/>
    <w:rsid w:val="008E609B"/>
    <w:rsid w:val="008F169E"/>
    <w:rsid w:val="008F3C15"/>
    <w:rsid w:val="008F4920"/>
    <w:rsid w:val="008F5B65"/>
    <w:rsid w:val="008F6ED0"/>
    <w:rsid w:val="0090186C"/>
    <w:rsid w:val="00902B5E"/>
    <w:rsid w:val="0090753A"/>
    <w:rsid w:val="00911F65"/>
    <w:rsid w:val="00923CC3"/>
    <w:rsid w:val="00924807"/>
    <w:rsid w:val="009277AD"/>
    <w:rsid w:val="00932491"/>
    <w:rsid w:val="009324B6"/>
    <w:rsid w:val="00932BD0"/>
    <w:rsid w:val="00933973"/>
    <w:rsid w:val="00934DB5"/>
    <w:rsid w:val="00940C70"/>
    <w:rsid w:val="0094152B"/>
    <w:rsid w:val="00942A73"/>
    <w:rsid w:val="00943369"/>
    <w:rsid w:val="00946C52"/>
    <w:rsid w:val="00950A56"/>
    <w:rsid w:val="00951BE2"/>
    <w:rsid w:val="0095443E"/>
    <w:rsid w:val="00954680"/>
    <w:rsid w:val="00957D16"/>
    <w:rsid w:val="009605C1"/>
    <w:rsid w:val="009635C5"/>
    <w:rsid w:val="00963829"/>
    <w:rsid w:val="009644CE"/>
    <w:rsid w:val="00967C94"/>
    <w:rsid w:val="00974F75"/>
    <w:rsid w:val="0097684E"/>
    <w:rsid w:val="00976CFD"/>
    <w:rsid w:val="0097772C"/>
    <w:rsid w:val="00982A16"/>
    <w:rsid w:val="00982BF0"/>
    <w:rsid w:val="00985F05"/>
    <w:rsid w:val="009867EC"/>
    <w:rsid w:val="00986CE7"/>
    <w:rsid w:val="009904C4"/>
    <w:rsid w:val="0099233C"/>
    <w:rsid w:val="00993649"/>
    <w:rsid w:val="00996116"/>
    <w:rsid w:val="009968E7"/>
    <w:rsid w:val="0099720F"/>
    <w:rsid w:val="009A0568"/>
    <w:rsid w:val="009A4449"/>
    <w:rsid w:val="009A7A62"/>
    <w:rsid w:val="009B50B5"/>
    <w:rsid w:val="009B6595"/>
    <w:rsid w:val="009C1997"/>
    <w:rsid w:val="009C676C"/>
    <w:rsid w:val="009C6DA3"/>
    <w:rsid w:val="009D1D30"/>
    <w:rsid w:val="009D2B31"/>
    <w:rsid w:val="009D43AF"/>
    <w:rsid w:val="009D63BC"/>
    <w:rsid w:val="009F044C"/>
    <w:rsid w:val="009F1E79"/>
    <w:rsid w:val="009F4CFF"/>
    <w:rsid w:val="009F5512"/>
    <w:rsid w:val="00A00EDA"/>
    <w:rsid w:val="00A01486"/>
    <w:rsid w:val="00A020FA"/>
    <w:rsid w:val="00A051BA"/>
    <w:rsid w:val="00A111FA"/>
    <w:rsid w:val="00A12E43"/>
    <w:rsid w:val="00A1342E"/>
    <w:rsid w:val="00A1697E"/>
    <w:rsid w:val="00A20CEE"/>
    <w:rsid w:val="00A25EA7"/>
    <w:rsid w:val="00A2725D"/>
    <w:rsid w:val="00A27F03"/>
    <w:rsid w:val="00A30FEF"/>
    <w:rsid w:val="00A32193"/>
    <w:rsid w:val="00A3307D"/>
    <w:rsid w:val="00A33A16"/>
    <w:rsid w:val="00A365E8"/>
    <w:rsid w:val="00A42ACC"/>
    <w:rsid w:val="00A47A07"/>
    <w:rsid w:val="00A509CC"/>
    <w:rsid w:val="00A546C8"/>
    <w:rsid w:val="00A54977"/>
    <w:rsid w:val="00A62D35"/>
    <w:rsid w:val="00A66FBA"/>
    <w:rsid w:val="00A71D58"/>
    <w:rsid w:val="00A778D3"/>
    <w:rsid w:val="00A77E0D"/>
    <w:rsid w:val="00A827FD"/>
    <w:rsid w:val="00A836DD"/>
    <w:rsid w:val="00A837D7"/>
    <w:rsid w:val="00A85946"/>
    <w:rsid w:val="00A85C46"/>
    <w:rsid w:val="00A91C35"/>
    <w:rsid w:val="00A9476D"/>
    <w:rsid w:val="00AA09B8"/>
    <w:rsid w:val="00AA1927"/>
    <w:rsid w:val="00AA20B1"/>
    <w:rsid w:val="00AB1C82"/>
    <w:rsid w:val="00AB3DE8"/>
    <w:rsid w:val="00AB4433"/>
    <w:rsid w:val="00AB63EC"/>
    <w:rsid w:val="00AC037F"/>
    <w:rsid w:val="00AC2119"/>
    <w:rsid w:val="00AD5FEE"/>
    <w:rsid w:val="00AD6E59"/>
    <w:rsid w:val="00AE201F"/>
    <w:rsid w:val="00AE2848"/>
    <w:rsid w:val="00AF63AB"/>
    <w:rsid w:val="00AF78B7"/>
    <w:rsid w:val="00B03908"/>
    <w:rsid w:val="00B03A07"/>
    <w:rsid w:val="00B0566A"/>
    <w:rsid w:val="00B132E4"/>
    <w:rsid w:val="00B16671"/>
    <w:rsid w:val="00B20480"/>
    <w:rsid w:val="00B2137C"/>
    <w:rsid w:val="00B234E8"/>
    <w:rsid w:val="00B24500"/>
    <w:rsid w:val="00B27013"/>
    <w:rsid w:val="00B27985"/>
    <w:rsid w:val="00B33A04"/>
    <w:rsid w:val="00B3620F"/>
    <w:rsid w:val="00B40A08"/>
    <w:rsid w:val="00B45FC8"/>
    <w:rsid w:val="00B60742"/>
    <w:rsid w:val="00B60CE9"/>
    <w:rsid w:val="00B615C6"/>
    <w:rsid w:val="00B70C09"/>
    <w:rsid w:val="00B73F40"/>
    <w:rsid w:val="00B74BBE"/>
    <w:rsid w:val="00B75CFD"/>
    <w:rsid w:val="00B806AA"/>
    <w:rsid w:val="00B82CAA"/>
    <w:rsid w:val="00B84FCB"/>
    <w:rsid w:val="00B94346"/>
    <w:rsid w:val="00B943B2"/>
    <w:rsid w:val="00B958B7"/>
    <w:rsid w:val="00B973D5"/>
    <w:rsid w:val="00BA08EA"/>
    <w:rsid w:val="00BA0F8B"/>
    <w:rsid w:val="00BA259D"/>
    <w:rsid w:val="00BA3AEF"/>
    <w:rsid w:val="00BA473A"/>
    <w:rsid w:val="00BA4A93"/>
    <w:rsid w:val="00BA552F"/>
    <w:rsid w:val="00BA5D59"/>
    <w:rsid w:val="00BB7802"/>
    <w:rsid w:val="00BC2685"/>
    <w:rsid w:val="00BC7D12"/>
    <w:rsid w:val="00BD0108"/>
    <w:rsid w:val="00BD44A6"/>
    <w:rsid w:val="00BD61F3"/>
    <w:rsid w:val="00BE024B"/>
    <w:rsid w:val="00BE0253"/>
    <w:rsid w:val="00BE1425"/>
    <w:rsid w:val="00BE471A"/>
    <w:rsid w:val="00BE49ED"/>
    <w:rsid w:val="00BE633A"/>
    <w:rsid w:val="00BE6E24"/>
    <w:rsid w:val="00BF00B3"/>
    <w:rsid w:val="00BF64C6"/>
    <w:rsid w:val="00BF659F"/>
    <w:rsid w:val="00C01336"/>
    <w:rsid w:val="00C0449B"/>
    <w:rsid w:val="00C05173"/>
    <w:rsid w:val="00C06A02"/>
    <w:rsid w:val="00C0736F"/>
    <w:rsid w:val="00C1274B"/>
    <w:rsid w:val="00C14EA1"/>
    <w:rsid w:val="00C157C8"/>
    <w:rsid w:val="00C16A65"/>
    <w:rsid w:val="00C16C54"/>
    <w:rsid w:val="00C1790A"/>
    <w:rsid w:val="00C17B8F"/>
    <w:rsid w:val="00C232D1"/>
    <w:rsid w:val="00C266B7"/>
    <w:rsid w:val="00C30EF8"/>
    <w:rsid w:val="00C32A91"/>
    <w:rsid w:val="00C32F8D"/>
    <w:rsid w:val="00C33C46"/>
    <w:rsid w:val="00C36913"/>
    <w:rsid w:val="00C52C65"/>
    <w:rsid w:val="00C614C6"/>
    <w:rsid w:val="00C63DF0"/>
    <w:rsid w:val="00C65140"/>
    <w:rsid w:val="00C6622F"/>
    <w:rsid w:val="00C674C2"/>
    <w:rsid w:val="00C7303D"/>
    <w:rsid w:val="00C77259"/>
    <w:rsid w:val="00C8042C"/>
    <w:rsid w:val="00C81F65"/>
    <w:rsid w:val="00C82B0D"/>
    <w:rsid w:val="00C83C00"/>
    <w:rsid w:val="00C84477"/>
    <w:rsid w:val="00C865F3"/>
    <w:rsid w:val="00C90BD5"/>
    <w:rsid w:val="00C91F9B"/>
    <w:rsid w:val="00C93AA7"/>
    <w:rsid w:val="00C94DAA"/>
    <w:rsid w:val="00C950C8"/>
    <w:rsid w:val="00C959A8"/>
    <w:rsid w:val="00CA18AA"/>
    <w:rsid w:val="00CA4DFF"/>
    <w:rsid w:val="00CB0C64"/>
    <w:rsid w:val="00CB386B"/>
    <w:rsid w:val="00CC15E4"/>
    <w:rsid w:val="00CC1E96"/>
    <w:rsid w:val="00CC2CCA"/>
    <w:rsid w:val="00CD3ACE"/>
    <w:rsid w:val="00CD693E"/>
    <w:rsid w:val="00CE193F"/>
    <w:rsid w:val="00CE2A39"/>
    <w:rsid w:val="00CE54D7"/>
    <w:rsid w:val="00CE5627"/>
    <w:rsid w:val="00CE5D86"/>
    <w:rsid w:val="00CF3F4F"/>
    <w:rsid w:val="00CF50F3"/>
    <w:rsid w:val="00CF696D"/>
    <w:rsid w:val="00CF6AD7"/>
    <w:rsid w:val="00D00B8F"/>
    <w:rsid w:val="00D04003"/>
    <w:rsid w:val="00D05C53"/>
    <w:rsid w:val="00D05F27"/>
    <w:rsid w:val="00D0779B"/>
    <w:rsid w:val="00D07DC5"/>
    <w:rsid w:val="00D10D2F"/>
    <w:rsid w:val="00D12F44"/>
    <w:rsid w:val="00D20CF1"/>
    <w:rsid w:val="00D21EBA"/>
    <w:rsid w:val="00D222B9"/>
    <w:rsid w:val="00D23765"/>
    <w:rsid w:val="00D24473"/>
    <w:rsid w:val="00D25149"/>
    <w:rsid w:val="00D25E8E"/>
    <w:rsid w:val="00D26613"/>
    <w:rsid w:val="00D3126A"/>
    <w:rsid w:val="00D31345"/>
    <w:rsid w:val="00D31FE5"/>
    <w:rsid w:val="00D3336C"/>
    <w:rsid w:val="00D34BCC"/>
    <w:rsid w:val="00D3749E"/>
    <w:rsid w:val="00D4082D"/>
    <w:rsid w:val="00D45CCA"/>
    <w:rsid w:val="00D46C7D"/>
    <w:rsid w:val="00D5151A"/>
    <w:rsid w:val="00D519AA"/>
    <w:rsid w:val="00D615F7"/>
    <w:rsid w:val="00D6194F"/>
    <w:rsid w:val="00D6327E"/>
    <w:rsid w:val="00D64A1F"/>
    <w:rsid w:val="00D66405"/>
    <w:rsid w:val="00D6707B"/>
    <w:rsid w:val="00D727C5"/>
    <w:rsid w:val="00D741B6"/>
    <w:rsid w:val="00D74753"/>
    <w:rsid w:val="00D80457"/>
    <w:rsid w:val="00D81F09"/>
    <w:rsid w:val="00D81F4E"/>
    <w:rsid w:val="00D87B90"/>
    <w:rsid w:val="00D92F2A"/>
    <w:rsid w:val="00D974AC"/>
    <w:rsid w:val="00DA1CE1"/>
    <w:rsid w:val="00DA5EE4"/>
    <w:rsid w:val="00DA7518"/>
    <w:rsid w:val="00DB0944"/>
    <w:rsid w:val="00DB1430"/>
    <w:rsid w:val="00DB2830"/>
    <w:rsid w:val="00DB3B09"/>
    <w:rsid w:val="00DB46A8"/>
    <w:rsid w:val="00DC1754"/>
    <w:rsid w:val="00DC2B31"/>
    <w:rsid w:val="00DC2F63"/>
    <w:rsid w:val="00DC483A"/>
    <w:rsid w:val="00DD3E61"/>
    <w:rsid w:val="00DD3E8B"/>
    <w:rsid w:val="00DD4594"/>
    <w:rsid w:val="00DD5601"/>
    <w:rsid w:val="00DD58D7"/>
    <w:rsid w:val="00DD706E"/>
    <w:rsid w:val="00DE2AF5"/>
    <w:rsid w:val="00DE33B1"/>
    <w:rsid w:val="00DE4195"/>
    <w:rsid w:val="00DE66D2"/>
    <w:rsid w:val="00E01936"/>
    <w:rsid w:val="00E03138"/>
    <w:rsid w:val="00E07C8B"/>
    <w:rsid w:val="00E10C54"/>
    <w:rsid w:val="00E136D6"/>
    <w:rsid w:val="00E15E8A"/>
    <w:rsid w:val="00E216E2"/>
    <w:rsid w:val="00E233DD"/>
    <w:rsid w:val="00E233F2"/>
    <w:rsid w:val="00E23EDC"/>
    <w:rsid w:val="00E269DA"/>
    <w:rsid w:val="00E32344"/>
    <w:rsid w:val="00E41C29"/>
    <w:rsid w:val="00E43451"/>
    <w:rsid w:val="00E449A0"/>
    <w:rsid w:val="00E50BC4"/>
    <w:rsid w:val="00E528E5"/>
    <w:rsid w:val="00E52DF4"/>
    <w:rsid w:val="00E62750"/>
    <w:rsid w:val="00E62E5D"/>
    <w:rsid w:val="00E63348"/>
    <w:rsid w:val="00E73C60"/>
    <w:rsid w:val="00E810C9"/>
    <w:rsid w:val="00E81F61"/>
    <w:rsid w:val="00E904DB"/>
    <w:rsid w:val="00E90BB9"/>
    <w:rsid w:val="00E93773"/>
    <w:rsid w:val="00E970D3"/>
    <w:rsid w:val="00EA5282"/>
    <w:rsid w:val="00EB15C7"/>
    <w:rsid w:val="00EB2505"/>
    <w:rsid w:val="00EB2DAC"/>
    <w:rsid w:val="00EB40CC"/>
    <w:rsid w:val="00EB6771"/>
    <w:rsid w:val="00ED1B03"/>
    <w:rsid w:val="00ED1E10"/>
    <w:rsid w:val="00ED3E0D"/>
    <w:rsid w:val="00ED407D"/>
    <w:rsid w:val="00EE005A"/>
    <w:rsid w:val="00EE26A0"/>
    <w:rsid w:val="00EE62AA"/>
    <w:rsid w:val="00EF194F"/>
    <w:rsid w:val="00EF4BE9"/>
    <w:rsid w:val="00F03752"/>
    <w:rsid w:val="00F04692"/>
    <w:rsid w:val="00F049F5"/>
    <w:rsid w:val="00F138E5"/>
    <w:rsid w:val="00F142C4"/>
    <w:rsid w:val="00F14668"/>
    <w:rsid w:val="00F15C07"/>
    <w:rsid w:val="00F16417"/>
    <w:rsid w:val="00F201F7"/>
    <w:rsid w:val="00F26E0E"/>
    <w:rsid w:val="00F27160"/>
    <w:rsid w:val="00F30897"/>
    <w:rsid w:val="00F3284C"/>
    <w:rsid w:val="00F333C6"/>
    <w:rsid w:val="00F338A5"/>
    <w:rsid w:val="00F347FE"/>
    <w:rsid w:val="00F3658C"/>
    <w:rsid w:val="00F42636"/>
    <w:rsid w:val="00F460EB"/>
    <w:rsid w:val="00F468B7"/>
    <w:rsid w:val="00F51BEA"/>
    <w:rsid w:val="00F55B67"/>
    <w:rsid w:val="00F570F5"/>
    <w:rsid w:val="00F64963"/>
    <w:rsid w:val="00F66AF4"/>
    <w:rsid w:val="00F6755C"/>
    <w:rsid w:val="00F6757E"/>
    <w:rsid w:val="00F708BD"/>
    <w:rsid w:val="00F76CC6"/>
    <w:rsid w:val="00F77BCB"/>
    <w:rsid w:val="00F80B57"/>
    <w:rsid w:val="00F81DE2"/>
    <w:rsid w:val="00F85639"/>
    <w:rsid w:val="00F92B2A"/>
    <w:rsid w:val="00F94C5B"/>
    <w:rsid w:val="00F954A4"/>
    <w:rsid w:val="00F95AFB"/>
    <w:rsid w:val="00FA1FF9"/>
    <w:rsid w:val="00FA679B"/>
    <w:rsid w:val="00FA78C9"/>
    <w:rsid w:val="00FB0ECA"/>
    <w:rsid w:val="00FB11A3"/>
    <w:rsid w:val="00FB2E1A"/>
    <w:rsid w:val="00FB6E01"/>
    <w:rsid w:val="00FB77F3"/>
    <w:rsid w:val="00FC2702"/>
    <w:rsid w:val="00FC5320"/>
    <w:rsid w:val="00FC53AF"/>
    <w:rsid w:val="00FD0FE3"/>
    <w:rsid w:val="00FD2F64"/>
    <w:rsid w:val="00FD55B5"/>
    <w:rsid w:val="00FD6481"/>
    <w:rsid w:val="00FF01F3"/>
    <w:rsid w:val="00FF0752"/>
    <w:rsid w:val="00FF164C"/>
    <w:rsid w:val="00FF5819"/>
    <w:rsid w:val="00FF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A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BD0108"/>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0108"/>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BD0108"/>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0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6B7"/>
    <w:pPr>
      <w:tabs>
        <w:tab w:val="center" w:pos="4513"/>
        <w:tab w:val="right" w:pos="9026"/>
      </w:tabs>
    </w:pPr>
  </w:style>
  <w:style w:type="character" w:customStyle="1" w:styleId="HeaderChar">
    <w:name w:val="Header Char"/>
    <w:basedOn w:val="DefaultParagraphFont"/>
    <w:link w:val="Header"/>
    <w:uiPriority w:val="99"/>
    <w:rsid w:val="00C266B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66B7"/>
    <w:pPr>
      <w:tabs>
        <w:tab w:val="center" w:pos="4513"/>
        <w:tab w:val="right" w:pos="9026"/>
      </w:tabs>
    </w:pPr>
  </w:style>
  <w:style w:type="character" w:customStyle="1" w:styleId="FooterChar">
    <w:name w:val="Footer Char"/>
    <w:basedOn w:val="DefaultParagraphFont"/>
    <w:link w:val="Footer"/>
    <w:uiPriority w:val="99"/>
    <w:rsid w:val="00C266B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2F61"/>
    <w:rPr>
      <w:rFonts w:ascii="Tahoma" w:hAnsi="Tahoma" w:cs="Tahoma"/>
      <w:sz w:val="16"/>
      <w:szCs w:val="16"/>
    </w:rPr>
  </w:style>
  <w:style w:type="character" w:customStyle="1" w:styleId="BalloonTextChar">
    <w:name w:val="Balloon Text Char"/>
    <w:basedOn w:val="DefaultParagraphFont"/>
    <w:link w:val="BalloonText"/>
    <w:uiPriority w:val="99"/>
    <w:semiHidden/>
    <w:rsid w:val="007A2F6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386534"/>
    <w:rPr>
      <w:sz w:val="16"/>
      <w:szCs w:val="16"/>
    </w:rPr>
  </w:style>
  <w:style w:type="paragraph" w:styleId="CommentText">
    <w:name w:val="annotation text"/>
    <w:basedOn w:val="Normal"/>
    <w:link w:val="CommentTextChar"/>
    <w:uiPriority w:val="99"/>
    <w:semiHidden/>
    <w:unhideWhenUsed/>
    <w:rsid w:val="00386534"/>
    <w:rPr>
      <w:sz w:val="20"/>
      <w:szCs w:val="20"/>
    </w:rPr>
  </w:style>
  <w:style w:type="character" w:customStyle="1" w:styleId="CommentTextChar">
    <w:name w:val="Comment Text Char"/>
    <w:basedOn w:val="DefaultParagraphFont"/>
    <w:link w:val="CommentText"/>
    <w:uiPriority w:val="99"/>
    <w:semiHidden/>
    <w:rsid w:val="003865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6534"/>
    <w:rPr>
      <w:b/>
      <w:bCs/>
    </w:rPr>
  </w:style>
  <w:style w:type="character" w:customStyle="1" w:styleId="CommentSubjectChar">
    <w:name w:val="Comment Subject Char"/>
    <w:basedOn w:val="CommentTextChar"/>
    <w:link w:val="CommentSubject"/>
    <w:uiPriority w:val="99"/>
    <w:semiHidden/>
    <w:rsid w:val="0038653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56D36"/>
    <w:pPr>
      <w:spacing w:before="100" w:beforeAutospacing="1" w:after="100" w:afterAutospacing="1"/>
    </w:pPr>
    <w:rPr>
      <w:rFonts w:eastAsiaTheme="minorEastAsia"/>
    </w:rPr>
  </w:style>
  <w:style w:type="paragraph" w:styleId="ListParagraph">
    <w:name w:val="List Paragraph"/>
    <w:basedOn w:val="Normal"/>
    <w:uiPriority w:val="34"/>
    <w:qFormat/>
    <w:rsid w:val="00B45FC8"/>
    <w:pPr>
      <w:ind w:left="720"/>
      <w:contextualSpacing/>
    </w:pPr>
  </w:style>
  <w:style w:type="character" w:customStyle="1" w:styleId="Heading1Char">
    <w:name w:val="Heading 1 Char"/>
    <w:basedOn w:val="DefaultParagraphFont"/>
    <w:link w:val="Heading1"/>
    <w:uiPriority w:val="99"/>
    <w:rsid w:val="00BD0108"/>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9"/>
    <w:rsid w:val="00BD0108"/>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9"/>
    <w:rsid w:val="00BD0108"/>
    <w:rPr>
      <w:rFonts w:ascii="Cambria" w:eastAsia="Times New Roman" w:hAnsi="Cambria" w:cs="Times New Roman"/>
      <w:b/>
      <w:bCs/>
      <w:sz w:val="26"/>
      <w:szCs w:val="26"/>
      <w:lang w:eastAsia="en-GB"/>
    </w:rPr>
  </w:style>
  <w:style w:type="character" w:customStyle="1" w:styleId="jrnl">
    <w:name w:val="jrnl"/>
    <w:basedOn w:val="DefaultParagraphFont"/>
    <w:rsid w:val="00BD0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A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BD0108"/>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0108"/>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BD0108"/>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0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6B7"/>
    <w:pPr>
      <w:tabs>
        <w:tab w:val="center" w:pos="4513"/>
        <w:tab w:val="right" w:pos="9026"/>
      </w:tabs>
    </w:pPr>
  </w:style>
  <w:style w:type="character" w:customStyle="1" w:styleId="HeaderChar">
    <w:name w:val="Header Char"/>
    <w:basedOn w:val="DefaultParagraphFont"/>
    <w:link w:val="Header"/>
    <w:uiPriority w:val="99"/>
    <w:rsid w:val="00C266B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66B7"/>
    <w:pPr>
      <w:tabs>
        <w:tab w:val="center" w:pos="4513"/>
        <w:tab w:val="right" w:pos="9026"/>
      </w:tabs>
    </w:pPr>
  </w:style>
  <w:style w:type="character" w:customStyle="1" w:styleId="FooterChar">
    <w:name w:val="Footer Char"/>
    <w:basedOn w:val="DefaultParagraphFont"/>
    <w:link w:val="Footer"/>
    <w:uiPriority w:val="99"/>
    <w:rsid w:val="00C266B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2F61"/>
    <w:rPr>
      <w:rFonts w:ascii="Tahoma" w:hAnsi="Tahoma" w:cs="Tahoma"/>
      <w:sz w:val="16"/>
      <w:szCs w:val="16"/>
    </w:rPr>
  </w:style>
  <w:style w:type="character" w:customStyle="1" w:styleId="BalloonTextChar">
    <w:name w:val="Balloon Text Char"/>
    <w:basedOn w:val="DefaultParagraphFont"/>
    <w:link w:val="BalloonText"/>
    <w:uiPriority w:val="99"/>
    <w:semiHidden/>
    <w:rsid w:val="007A2F6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386534"/>
    <w:rPr>
      <w:sz w:val="16"/>
      <w:szCs w:val="16"/>
    </w:rPr>
  </w:style>
  <w:style w:type="paragraph" w:styleId="CommentText">
    <w:name w:val="annotation text"/>
    <w:basedOn w:val="Normal"/>
    <w:link w:val="CommentTextChar"/>
    <w:uiPriority w:val="99"/>
    <w:semiHidden/>
    <w:unhideWhenUsed/>
    <w:rsid w:val="00386534"/>
    <w:rPr>
      <w:sz w:val="20"/>
      <w:szCs w:val="20"/>
    </w:rPr>
  </w:style>
  <w:style w:type="character" w:customStyle="1" w:styleId="CommentTextChar">
    <w:name w:val="Comment Text Char"/>
    <w:basedOn w:val="DefaultParagraphFont"/>
    <w:link w:val="CommentText"/>
    <w:uiPriority w:val="99"/>
    <w:semiHidden/>
    <w:rsid w:val="003865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6534"/>
    <w:rPr>
      <w:b/>
      <w:bCs/>
    </w:rPr>
  </w:style>
  <w:style w:type="character" w:customStyle="1" w:styleId="CommentSubjectChar">
    <w:name w:val="Comment Subject Char"/>
    <w:basedOn w:val="CommentTextChar"/>
    <w:link w:val="CommentSubject"/>
    <w:uiPriority w:val="99"/>
    <w:semiHidden/>
    <w:rsid w:val="0038653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56D36"/>
    <w:pPr>
      <w:spacing w:before="100" w:beforeAutospacing="1" w:after="100" w:afterAutospacing="1"/>
    </w:pPr>
    <w:rPr>
      <w:rFonts w:eastAsiaTheme="minorEastAsia"/>
    </w:rPr>
  </w:style>
  <w:style w:type="paragraph" w:styleId="ListParagraph">
    <w:name w:val="List Paragraph"/>
    <w:basedOn w:val="Normal"/>
    <w:uiPriority w:val="34"/>
    <w:qFormat/>
    <w:rsid w:val="00B45FC8"/>
    <w:pPr>
      <w:ind w:left="720"/>
      <w:contextualSpacing/>
    </w:pPr>
  </w:style>
  <w:style w:type="character" w:customStyle="1" w:styleId="Heading1Char">
    <w:name w:val="Heading 1 Char"/>
    <w:basedOn w:val="DefaultParagraphFont"/>
    <w:link w:val="Heading1"/>
    <w:uiPriority w:val="99"/>
    <w:rsid w:val="00BD0108"/>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9"/>
    <w:rsid w:val="00BD0108"/>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9"/>
    <w:rsid w:val="00BD0108"/>
    <w:rPr>
      <w:rFonts w:ascii="Cambria" w:eastAsia="Times New Roman" w:hAnsi="Cambria" w:cs="Times New Roman"/>
      <w:b/>
      <w:bCs/>
      <w:sz w:val="26"/>
      <w:szCs w:val="26"/>
      <w:lang w:eastAsia="en-GB"/>
    </w:rPr>
  </w:style>
  <w:style w:type="character" w:customStyle="1" w:styleId="jrnl">
    <w:name w:val="jrnl"/>
    <w:basedOn w:val="DefaultParagraphFont"/>
    <w:rsid w:val="00BD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5702">
      <w:bodyDiv w:val="1"/>
      <w:marLeft w:val="0"/>
      <w:marRight w:val="0"/>
      <w:marTop w:val="0"/>
      <w:marBottom w:val="0"/>
      <w:divBdr>
        <w:top w:val="none" w:sz="0" w:space="0" w:color="auto"/>
        <w:left w:val="none" w:sz="0" w:space="0" w:color="auto"/>
        <w:bottom w:val="none" w:sz="0" w:space="0" w:color="auto"/>
        <w:right w:val="none" w:sz="0" w:space="0" w:color="auto"/>
      </w:divBdr>
    </w:div>
    <w:div w:id="21204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elhama\Dropbox\Paperwork\Paper%20drafts\Eating\Alice%20graph%20redo%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elhama\Dropbox\Paperwork\Paper%20drafts\Eating\Alice%20graph%20redo%2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welhama\Dropbox\Paperwork\Revisions\AmJMedGen%20food%20revisions\Graph%20revis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'means data'!$D$35</c:f>
              <c:strCache>
                <c:ptCount val="1"/>
                <c:pt idx="0">
                  <c:v>Prader-Willi </c:v>
                </c:pt>
              </c:strCache>
            </c:strRef>
          </c:tx>
          <c:spPr>
            <a:solidFill>
              <a:schemeClr val="bg1">
                <a:lumMod val="75000"/>
              </a:schemeClr>
            </a:solidFill>
            <a:ln>
              <a:solidFill>
                <a:schemeClr val="tx1">
                  <a:lumMod val="75000"/>
                  <a:lumOff val="25000"/>
                </a:schemeClr>
              </a:solidFill>
            </a:ln>
          </c:spPr>
          <c:invertIfNegative val="0"/>
          <c:errBars>
            <c:errBarType val="plus"/>
            <c:errValType val="cust"/>
            <c:noEndCap val="0"/>
            <c:plus>
              <c:numRef>
                <c:f>'means data'!$C$17:$E$17</c:f>
                <c:numCache>
                  <c:formatCode>General</c:formatCode>
                  <c:ptCount val="3"/>
                  <c:pt idx="0">
                    <c:v>1.72</c:v>
                  </c:pt>
                  <c:pt idx="1">
                    <c:v>1.03</c:v>
                  </c:pt>
                  <c:pt idx="2">
                    <c:v>0.77</c:v>
                  </c:pt>
                </c:numCache>
              </c:numRef>
            </c:plus>
            <c:minus>
              <c:numLit>
                <c:formatCode>General</c:formatCode>
                <c:ptCount val="1"/>
                <c:pt idx="0">
                  <c:v>1</c:v>
                </c:pt>
              </c:numLit>
            </c:minus>
          </c:errBars>
          <c:cat>
            <c:strRef>
              <c:f>'means data'!$E$33:$G$34</c:f>
              <c:strCache>
                <c:ptCount val="3"/>
                <c:pt idx="0">
                  <c:v>Negative composite</c:v>
                </c:pt>
                <c:pt idx="1">
                  <c:v>Impaired satiety</c:v>
                </c:pt>
                <c:pt idx="2">
                  <c:v>Preoccupation with food</c:v>
                </c:pt>
              </c:strCache>
            </c:strRef>
          </c:cat>
          <c:val>
            <c:numRef>
              <c:f>'means data'!$E$35:$G$35</c:f>
              <c:numCache>
                <c:formatCode>General</c:formatCode>
                <c:ptCount val="3"/>
                <c:pt idx="0">
                  <c:v>23.54</c:v>
                </c:pt>
                <c:pt idx="1">
                  <c:v>21.96</c:v>
                </c:pt>
                <c:pt idx="2">
                  <c:v>12.2</c:v>
                </c:pt>
              </c:numCache>
            </c:numRef>
          </c:val>
        </c:ser>
        <c:ser>
          <c:idx val="1"/>
          <c:order val="1"/>
          <c:tx>
            <c:strRef>
              <c:f>'means data'!$D$36</c:f>
              <c:strCache>
                <c:ptCount val="1"/>
                <c:pt idx="0">
                  <c:v>Angelman</c:v>
                </c:pt>
              </c:strCache>
            </c:strRef>
          </c:tx>
          <c:spPr>
            <a:solidFill>
              <a:schemeClr val="tx1">
                <a:lumMod val="75000"/>
                <a:lumOff val="25000"/>
              </a:schemeClr>
            </a:solidFill>
            <a:ln>
              <a:solidFill>
                <a:schemeClr val="tx1">
                  <a:lumMod val="75000"/>
                  <a:lumOff val="25000"/>
                </a:schemeClr>
              </a:solidFill>
            </a:ln>
          </c:spPr>
          <c:invertIfNegative val="0"/>
          <c:errBars>
            <c:errBarType val="plus"/>
            <c:errValType val="cust"/>
            <c:noEndCap val="0"/>
            <c:plus>
              <c:numRef>
                <c:f>'means data'!$C$18:$E$18</c:f>
                <c:numCache>
                  <c:formatCode>General</c:formatCode>
                  <c:ptCount val="3"/>
                  <c:pt idx="0">
                    <c:v>1.7</c:v>
                  </c:pt>
                  <c:pt idx="1">
                    <c:v>1.01</c:v>
                  </c:pt>
                  <c:pt idx="2">
                    <c:v>0.76</c:v>
                  </c:pt>
                </c:numCache>
              </c:numRef>
            </c:plus>
            <c:minus>
              <c:numLit>
                <c:formatCode>General</c:formatCode>
                <c:ptCount val="1"/>
                <c:pt idx="0">
                  <c:v>1</c:v>
                </c:pt>
              </c:numLit>
            </c:minus>
          </c:errBars>
          <c:cat>
            <c:strRef>
              <c:f>'means data'!$E$33:$G$34</c:f>
              <c:strCache>
                <c:ptCount val="3"/>
                <c:pt idx="0">
                  <c:v>Negative composite</c:v>
                </c:pt>
                <c:pt idx="1">
                  <c:v>Impaired satiety</c:v>
                </c:pt>
                <c:pt idx="2">
                  <c:v>Preoccupation with food</c:v>
                </c:pt>
              </c:strCache>
            </c:strRef>
          </c:cat>
          <c:val>
            <c:numRef>
              <c:f>'means data'!$E$36:$G$36</c:f>
              <c:numCache>
                <c:formatCode>General</c:formatCode>
                <c:ptCount val="3"/>
                <c:pt idx="0">
                  <c:v>25.37</c:v>
                </c:pt>
                <c:pt idx="1">
                  <c:v>17.73</c:v>
                </c:pt>
                <c:pt idx="2">
                  <c:v>7.04</c:v>
                </c:pt>
              </c:numCache>
            </c:numRef>
          </c:val>
        </c:ser>
        <c:ser>
          <c:idx val="2"/>
          <c:order val="2"/>
          <c:tx>
            <c:strRef>
              <c:f>'means data'!$D$37</c:f>
              <c:strCache>
                <c:ptCount val="1"/>
                <c:pt idx="0">
                  <c:v>Cornelia de Lange</c:v>
                </c:pt>
              </c:strCache>
            </c:strRef>
          </c:tx>
          <c:spPr>
            <a:pattFill prst="lgConfetti">
              <a:fgClr>
                <a:schemeClr val="tx1">
                  <a:lumMod val="95000"/>
                  <a:lumOff val="5000"/>
                </a:schemeClr>
              </a:fgClr>
              <a:bgClr>
                <a:schemeClr val="bg1"/>
              </a:bgClr>
            </a:pattFill>
            <a:ln>
              <a:solidFill>
                <a:schemeClr val="tx1">
                  <a:lumMod val="75000"/>
                  <a:lumOff val="25000"/>
                </a:schemeClr>
              </a:solidFill>
            </a:ln>
          </c:spPr>
          <c:invertIfNegative val="0"/>
          <c:errBars>
            <c:errBarType val="plus"/>
            <c:errValType val="cust"/>
            <c:noEndCap val="0"/>
            <c:plus>
              <c:numRef>
                <c:f>'means data'!$C$19:$E$19</c:f>
                <c:numCache>
                  <c:formatCode>General</c:formatCode>
                  <c:ptCount val="3"/>
                  <c:pt idx="0">
                    <c:v>1.83</c:v>
                  </c:pt>
                  <c:pt idx="1">
                    <c:v>1.0900000000000001</c:v>
                  </c:pt>
                  <c:pt idx="2">
                    <c:v>0.82</c:v>
                  </c:pt>
                </c:numCache>
              </c:numRef>
            </c:plus>
            <c:minus>
              <c:numLit>
                <c:formatCode>General</c:formatCode>
                <c:ptCount val="1"/>
                <c:pt idx="0">
                  <c:v>1</c:v>
                </c:pt>
              </c:numLit>
            </c:minus>
          </c:errBars>
          <c:cat>
            <c:strRef>
              <c:f>'means data'!$E$33:$G$34</c:f>
              <c:strCache>
                <c:ptCount val="3"/>
                <c:pt idx="0">
                  <c:v>Negative composite</c:v>
                </c:pt>
                <c:pt idx="1">
                  <c:v>Impaired satiety</c:v>
                </c:pt>
                <c:pt idx="2">
                  <c:v>Preoccupation with food</c:v>
                </c:pt>
              </c:strCache>
            </c:strRef>
          </c:cat>
          <c:val>
            <c:numRef>
              <c:f>'means data'!$E$37:$G$37</c:f>
              <c:numCache>
                <c:formatCode>General</c:formatCode>
                <c:ptCount val="3"/>
                <c:pt idx="0">
                  <c:v>16.239999999999998</c:v>
                </c:pt>
                <c:pt idx="1">
                  <c:v>14.42</c:v>
                </c:pt>
                <c:pt idx="2">
                  <c:v>3.97</c:v>
                </c:pt>
              </c:numCache>
            </c:numRef>
          </c:val>
        </c:ser>
        <c:ser>
          <c:idx val="3"/>
          <c:order val="3"/>
          <c:tx>
            <c:strRef>
              <c:f>'means data'!$D$38</c:f>
              <c:strCache>
                <c:ptCount val="1"/>
                <c:pt idx="0">
                  <c:v>Fragile X </c:v>
                </c:pt>
              </c:strCache>
            </c:strRef>
          </c:tx>
          <c:spPr>
            <a:pattFill prst="wdUpDiag">
              <a:fgClr>
                <a:schemeClr val="tx1"/>
              </a:fgClr>
              <a:bgClr>
                <a:schemeClr val="bg1"/>
              </a:bgClr>
            </a:pattFill>
            <a:ln>
              <a:solidFill>
                <a:schemeClr val="tx1">
                  <a:lumMod val="50000"/>
                  <a:lumOff val="50000"/>
                </a:schemeClr>
              </a:solidFill>
            </a:ln>
          </c:spPr>
          <c:invertIfNegative val="0"/>
          <c:errBars>
            <c:errBarType val="plus"/>
            <c:errValType val="cust"/>
            <c:noEndCap val="0"/>
            <c:plus>
              <c:numRef>
                <c:f>'means data'!$C$20:$E$20</c:f>
                <c:numCache>
                  <c:formatCode>General</c:formatCode>
                  <c:ptCount val="3"/>
                  <c:pt idx="0">
                    <c:v>1.93</c:v>
                  </c:pt>
                  <c:pt idx="1">
                    <c:v>1.1499999999999999</c:v>
                  </c:pt>
                  <c:pt idx="2">
                    <c:v>0.86</c:v>
                  </c:pt>
                </c:numCache>
              </c:numRef>
            </c:plus>
            <c:minus>
              <c:numLit>
                <c:formatCode>General</c:formatCode>
                <c:ptCount val="1"/>
                <c:pt idx="0">
                  <c:v>1</c:v>
                </c:pt>
              </c:numLit>
            </c:minus>
          </c:errBars>
          <c:cat>
            <c:strRef>
              <c:f>'means data'!$E$33:$G$34</c:f>
              <c:strCache>
                <c:ptCount val="3"/>
                <c:pt idx="0">
                  <c:v>Negative composite</c:v>
                </c:pt>
                <c:pt idx="1">
                  <c:v>Impaired satiety</c:v>
                </c:pt>
                <c:pt idx="2">
                  <c:v>Preoccupation with food</c:v>
                </c:pt>
              </c:strCache>
            </c:strRef>
          </c:cat>
          <c:val>
            <c:numRef>
              <c:f>'means data'!$E$38:$G$38</c:f>
              <c:numCache>
                <c:formatCode>General</c:formatCode>
                <c:ptCount val="3"/>
                <c:pt idx="0">
                  <c:v>17.04</c:v>
                </c:pt>
                <c:pt idx="1">
                  <c:v>17.13</c:v>
                </c:pt>
                <c:pt idx="2">
                  <c:v>7.14</c:v>
                </c:pt>
              </c:numCache>
            </c:numRef>
          </c:val>
        </c:ser>
        <c:ser>
          <c:idx val="4"/>
          <c:order val="4"/>
          <c:tx>
            <c:strRef>
              <c:f>'means data'!$D$39</c:f>
              <c:strCache>
                <c:ptCount val="1"/>
                <c:pt idx="0">
                  <c:v>1p36 deletion</c:v>
                </c:pt>
              </c:strCache>
            </c:strRef>
          </c:tx>
          <c:spPr>
            <a:pattFill prst="dashVert">
              <a:fgClr>
                <a:schemeClr val="tx1">
                  <a:lumMod val="95000"/>
                  <a:lumOff val="5000"/>
                </a:schemeClr>
              </a:fgClr>
              <a:bgClr>
                <a:schemeClr val="bg1"/>
              </a:bgClr>
            </a:pattFill>
            <a:ln>
              <a:solidFill>
                <a:schemeClr val="tx1">
                  <a:lumMod val="75000"/>
                  <a:lumOff val="25000"/>
                </a:schemeClr>
              </a:solidFill>
            </a:ln>
          </c:spPr>
          <c:invertIfNegative val="0"/>
          <c:errBars>
            <c:errBarType val="plus"/>
            <c:errValType val="cust"/>
            <c:noEndCap val="0"/>
            <c:plus>
              <c:numRef>
                <c:f>'means data'!$C$21:$E$21</c:f>
                <c:numCache>
                  <c:formatCode>General</c:formatCode>
                  <c:ptCount val="3"/>
                  <c:pt idx="0">
                    <c:v>2.78</c:v>
                  </c:pt>
                  <c:pt idx="1">
                    <c:v>1.66</c:v>
                  </c:pt>
                  <c:pt idx="2">
                    <c:v>1.25</c:v>
                  </c:pt>
                </c:numCache>
              </c:numRef>
            </c:plus>
            <c:minus>
              <c:numLit>
                <c:formatCode>General</c:formatCode>
                <c:ptCount val="1"/>
                <c:pt idx="0">
                  <c:v>1</c:v>
                </c:pt>
              </c:numLit>
            </c:minus>
          </c:errBars>
          <c:cat>
            <c:strRef>
              <c:f>'means data'!$E$33:$G$34</c:f>
              <c:strCache>
                <c:ptCount val="3"/>
                <c:pt idx="0">
                  <c:v>Negative composite</c:v>
                </c:pt>
                <c:pt idx="1">
                  <c:v>Impaired satiety</c:v>
                </c:pt>
                <c:pt idx="2">
                  <c:v>Preoccupation with food</c:v>
                </c:pt>
              </c:strCache>
            </c:strRef>
          </c:cat>
          <c:val>
            <c:numRef>
              <c:f>'means data'!$E$39:$G$39</c:f>
              <c:numCache>
                <c:formatCode>General</c:formatCode>
                <c:ptCount val="3"/>
                <c:pt idx="0">
                  <c:v>17.45</c:v>
                </c:pt>
                <c:pt idx="1">
                  <c:v>15.64</c:v>
                </c:pt>
                <c:pt idx="2">
                  <c:v>4.95</c:v>
                </c:pt>
              </c:numCache>
            </c:numRef>
          </c:val>
        </c:ser>
        <c:dLbls>
          <c:showLegendKey val="0"/>
          <c:showVal val="0"/>
          <c:showCatName val="0"/>
          <c:showSerName val="0"/>
          <c:showPercent val="0"/>
          <c:showBubbleSize val="0"/>
        </c:dLbls>
        <c:gapWidth val="150"/>
        <c:axId val="121214464"/>
        <c:axId val="121216000"/>
      </c:barChart>
      <c:catAx>
        <c:axId val="121214464"/>
        <c:scaling>
          <c:orientation val="minMax"/>
        </c:scaling>
        <c:delete val="0"/>
        <c:axPos val="b"/>
        <c:majorTickMark val="out"/>
        <c:minorTickMark val="none"/>
        <c:tickLblPos val="nextTo"/>
        <c:txPr>
          <a:bodyPr/>
          <a:lstStyle/>
          <a:p>
            <a:pPr>
              <a:defRPr b="1"/>
            </a:pPr>
            <a:endParaRPr lang="en-US"/>
          </a:p>
        </c:txPr>
        <c:crossAx val="121216000"/>
        <c:crosses val="autoZero"/>
        <c:auto val="1"/>
        <c:lblAlgn val="ctr"/>
        <c:lblOffset val="100"/>
        <c:noMultiLvlLbl val="0"/>
      </c:catAx>
      <c:valAx>
        <c:axId val="121216000"/>
        <c:scaling>
          <c:orientation val="minMax"/>
        </c:scaling>
        <c:delete val="0"/>
        <c:axPos val="l"/>
        <c:majorGridlines>
          <c:spPr>
            <a:ln>
              <a:noFill/>
            </a:ln>
          </c:spPr>
        </c:majorGridlines>
        <c:title>
          <c:tx>
            <c:rich>
              <a:bodyPr rot="-5400000" vert="horz"/>
              <a:lstStyle/>
              <a:p>
                <a:pPr>
                  <a:defRPr/>
                </a:pPr>
                <a:r>
                  <a:rPr lang="en-GB"/>
                  <a:t>Mean</a:t>
                </a:r>
                <a:r>
                  <a:rPr lang="en-GB" baseline="0"/>
                  <a:t> s</a:t>
                </a:r>
                <a:r>
                  <a:rPr lang="en-GB"/>
                  <a:t>ubscal</a:t>
                </a:r>
                <a:r>
                  <a:rPr lang="en-GB" baseline="0"/>
                  <a:t>e score (1 S.E. bars)</a:t>
                </a:r>
                <a:endParaRPr lang="en-GB"/>
              </a:p>
            </c:rich>
          </c:tx>
          <c:layout/>
          <c:overlay val="0"/>
        </c:title>
        <c:numFmt formatCode="General" sourceLinked="1"/>
        <c:majorTickMark val="out"/>
        <c:minorTickMark val="none"/>
        <c:tickLblPos val="nextTo"/>
        <c:crossAx val="12121446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'means data'!$D$45</c:f>
              <c:strCache>
                <c:ptCount val="1"/>
                <c:pt idx="0">
                  <c:v>Prader-Willi </c:v>
                </c:pt>
              </c:strCache>
            </c:strRef>
          </c:tx>
          <c:spPr>
            <a:solidFill>
              <a:schemeClr val="bg1">
                <a:lumMod val="65000"/>
              </a:schemeClr>
            </a:solidFill>
            <a:ln>
              <a:solidFill>
                <a:schemeClr val="tx1">
                  <a:lumMod val="75000"/>
                  <a:lumOff val="25000"/>
                </a:schemeClr>
              </a:solidFill>
            </a:ln>
          </c:spPr>
          <c:invertIfNegative val="0"/>
          <c:errBars>
            <c:errBarType val="plus"/>
            <c:errValType val="cust"/>
            <c:noEndCap val="0"/>
            <c:plus>
              <c:numRef>
                <c:f>'means data'!$C$26:$E$26</c:f>
                <c:numCache>
                  <c:formatCode>General</c:formatCode>
                  <c:ptCount val="3"/>
                  <c:pt idx="0">
                    <c:v>0.65</c:v>
                  </c:pt>
                  <c:pt idx="1">
                    <c:v>0.8</c:v>
                  </c:pt>
                  <c:pt idx="2">
                    <c:v>0.76</c:v>
                  </c:pt>
                </c:numCache>
              </c:numRef>
            </c:plus>
            <c:minus>
              <c:numLit>
                <c:formatCode>General</c:formatCode>
                <c:ptCount val="1"/>
                <c:pt idx="0">
                  <c:v>1</c:v>
                </c:pt>
              </c:numLit>
            </c:minus>
          </c:errBars>
          <c:cat>
            <c:strRef>
              <c:f>'means data'!$E$43:$G$44</c:f>
              <c:strCache>
                <c:ptCount val="3"/>
                <c:pt idx="0">
                  <c:v>Eats inedible items</c:v>
                </c:pt>
                <c:pt idx="1">
                  <c:v>Takes and stores food</c:v>
                </c:pt>
                <c:pt idx="2">
                  <c:v>Inappropriate behaviour</c:v>
                </c:pt>
              </c:strCache>
            </c:strRef>
          </c:cat>
          <c:val>
            <c:numRef>
              <c:f>'means data'!$E$45:$G$45</c:f>
              <c:numCache>
                <c:formatCode>General</c:formatCode>
                <c:ptCount val="3"/>
                <c:pt idx="0">
                  <c:v>3.74</c:v>
                </c:pt>
                <c:pt idx="1">
                  <c:v>9.14</c:v>
                </c:pt>
                <c:pt idx="2">
                  <c:v>9.9600000000000009</c:v>
                </c:pt>
              </c:numCache>
            </c:numRef>
          </c:val>
        </c:ser>
        <c:ser>
          <c:idx val="1"/>
          <c:order val="1"/>
          <c:tx>
            <c:strRef>
              <c:f>'means data'!$D$46</c:f>
              <c:strCache>
                <c:ptCount val="1"/>
                <c:pt idx="0">
                  <c:v>Angelman</c:v>
                </c:pt>
              </c:strCache>
            </c:strRef>
          </c:tx>
          <c:spPr>
            <a:solidFill>
              <a:schemeClr val="tx1"/>
            </a:solidFill>
            <a:ln>
              <a:solidFill>
                <a:schemeClr val="tx1">
                  <a:lumMod val="75000"/>
                  <a:lumOff val="25000"/>
                </a:schemeClr>
              </a:solidFill>
            </a:ln>
          </c:spPr>
          <c:invertIfNegative val="0"/>
          <c:errBars>
            <c:errBarType val="plus"/>
            <c:errValType val="cust"/>
            <c:noEndCap val="0"/>
            <c:plus>
              <c:numRef>
                <c:f>'means data'!$C$27:$E$27</c:f>
                <c:numCache>
                  <c:formatCode>General</c:formatCode>
                  <c:ptCount val="3"/>
                  <c:pt idx="0">
                    <c:v>0.64</c:v>
                  </c:pt>
                  <c:pt idx="1">
                    <c:v>0.79</c:v>
                  </c:pt>
                  <c:pt idx="2">
                    <c:v>0.75</c:v>
                  </c:pt>
                </c:numCache>
              </c:numRef>
            </c:plus>
            <c:minus>
              <c:numLit>
                <c:formatCode>General</c:formatCode>
                <c:ptCount val="1"/>
                <c:pt idx="0">
                  <c:v>1</c:v>
                </c:pt>
              </c:numLit>
            </c:minus>
          </c:errBars>
          <c:cat>
            <c:strRef>
              <c:f>'means data'!$E$43:$G$44</c:f>
              <c:strCache>
                <c:ptCount val="3"/>
                <c:pt idx="0">
                  <c:v>Eats inedible items</c:v>
                </c:pt>
                <c:pt idx="1">
                  <c:v>Takes and stores food</c:v>
                </c:pt>
                <c:pt idx="2">
                  <c:v>Inappropriate behaviour</c:v>
                </c:pt>
              </c:strCache>
            </c:strRef>
          </c:cat>
          <c:val>
            <c:numRef>
              <c:f>'means data'!$E$46:$G$46</c:f>
              <c:numCache>
                <c:formatCode>General</c:formatCode>
                <c:ptCount val="3"/>
                <c:pt idx="0">
                  <c:v>5.77</c:v>
                </c:pt>
                <c:pt idx="1">
                  <c:v>8.5399999999999991</c:v>
                </c:pt>
                <c:pt idx="2">
                  <c:v>11.06</c:v>
                </c:pt>
              </c:numCache>
            </c:numRef>
          </c:val>
        </c:ser>
        <c:ser>
          <c:idx val="2"/>
          <c:order val="2"/>
          <c:tx>
            <c:strRef>
              <c:f>'means data'!$D$47</c:f>
              <c:strCache>
                <c:ptCount val="1"/>
                <c:pt idx="0">
                  <c:v>Cornelia de Lange</c:v>
                </c:pt>
              </c:strCache>
            </c:strRef>
          </c:tx>
          <c:spPr>
            <a:pattFill prst="lgConfetti">
              <a:fgClr>
                <a:schemeClr val="tx1"/>
              </a:fgClr>
              <a:bgClr>
                <a:schemeClr val="bg1"/>
              </a:bgClr>
            </a:pattFill>
            <a:ln>
              <a:solidFill>
                <a:schemeClr val="tx1">
                  <a:lumMod val="75000"/>
                  <a:lumOff val="25000"/>
                </a:schemeClr>
              </a:solidFill>
            </a:ln>
          </c:spPr>
          <c:invertIfNegative val="0"/>
          <c:errBars>
            <c:errBarType val="plus"/>
            <c:errValType val="cust"/>
            <c:noEndCap val="0"/>
            <c:plus>
              <c:numRef>
                <c:f>'means data'!$C$28:$E$28</c:f>
                <c:numCache>
                  <c:formatCode>General</c:formatCode>
                  <c:ptCount val="3"/>
                  <c:pt idx="0">
                    <c:v>0.69</c:v>
                  </c:pt>
                  <c:pt idx="1">
                    <c:v>0.85</c:v>
                  </c:pt>
                  <c:pt idx="2">
                    <c:v>0.81</c:v>
                  </c:pt>
                </c:numCache>
              </c:numRef>
            </c:plus>
            <c:minus>
              <c:numLit>
                <c:formatCode>General</c:formatCode>
                <c:ptCount val="1"/>
                <c:pt idx="0">
                  <c:v>1</c:v>
                </c:pt>
              </c:numLit>
            </c:minus>
          </c:errBars>
          <c:cat>
            <c:strRef>
              <c:f>'means data'!$E$43:$G$44</c:f>
              <c:strCache>
                <c:ptCount val="3"/>
                <c:pt idx="0">
                  <c:v>Eats inedible items</c:v>
                </c:pt>
                <c:pt idx="1">
                  <c:v>Takes and stores food</c:v>
                </c:pt>
                <c:pt idx="2">
                  <c:v>Inappropriate behaviour</c:v>
                </c:pt>
              </c:strCache>
            </c:strRef>
          </c:cat>
          <c:val>
            <c:numRef>
              <c:f>'means data'!$E$47:$G$47</c:f>
              <c:numCache>
                <c:formatCode>General</c:formatCode>
                <c:ptCount val="3"/>
                <c:pt idx="0">
                  <c:v>3.52</c:v>
                </c:pt>
                <c:pt idx="1">
                  <c:v>3.83</c:v>
                </c:pt>
                <c:pt idx="2">
                  <c:v>8.77</c:v>
                </c:pt>
              </c:numCache>
            </c:numRef>
          </c:val>
        </c:ser>
        <c:ser>
          <c:idx val="3"/>
          <c:order val="3"/>
          <c:tx>
            <c:strRef>
              <c:f>'means data'!$D$48</c:f>
              <c:strCache>
                <c:ptCount val="1"/>
                <c:pt idx="0">
                  <c:v>Fragile X</c:v>
                </c:pt>
              </c:strCache>
            </c:strRef>
          </c:tx>
          <c:spPr>
            <a:pattFill prst="wdUpDiag">
              <a:fgClr>
                <a:schemeClr val="tx1"/>
              </a:fgClr>
              <a:bgClr>
                <a:schemeClr val="bg1"/>
              </a:bgClr>
            </a:pattFill>
            <a:ln>
              <a:solidFill>
                <a:schemeClr val="tx1">
                  <a:lumMod val="75000"/>
                  <a:lumOff val="25000"/>
                </a:schemeClr>
              </a:solidFill>
            </a:ln>
          </c:spPr>
          <c:invertIfNegative val="0"/>
          <c:errBars>
            <c:errBarType val="plus"/>
            <c:errValType val="cust"/>
            <c:noEndCap val="0"/>
            <c:plus>
              <c:numRef>
                <c:f>'means data'!$C$29:$E$29</c:f>
                <c:numCache>
                  <c:formatCode>General</c:formatCode>
                  <c:ptCount val="3"/>
                  <c:pt idx="0">
                    <c:v>0.73</c:v>
                  </c:pt>
                  <c:pt idx="1">
                    <c:v>0.9</c:v>
                  </c:pt>
                  <c:pt idx="2">
                    <c:v>0.86</c:v>
                  </c:pt>
                </c:numCache>
              </c:numRef>
            </c:plus>
            <c:minus>
              <c:numLit>
                <c:formatCode>General</c:formatCode>
                <c:ptCount val="1"/>
                <c:pt idx="0">
                  <c:v>1</c:v>
                </c:pt>
              </c:numLit>
            </c:minus>
          </c:errBars>
          <c:cat>
            <c:strRef>
              <c:f>'means data'!$E$43:$G$44</c:f>
              <c:strCache>
                <c:ptCount val="3"/>
                <c:pt idx="0">
                  <c:v>Eats inedible items</c:v>
                </c:pt>
                <c:pt idx="1">
                  <c:v>Takes and stores food</c:v>
                </c:pt>
                <c:pt idx="2">
                  <c:v>Inappropriate behaviour</c:v>
                </c:pt>
              </c:strCache>
            </c:strRef>
          </c:cat>
          <c:val>
            <c:numRef>
              <c:f>'means data'!$E$48:$G$48</c:f>
              <c:numCache>
                <c:formatCode>General</c:formatCode>
                <c:ptCount val="3"/>
                <c:pt idx="0">
                  <c:v>1.1399999999999999</c:v>
                </c:pt>
                <c:pt idx="1">
                  <c:v>5.36</c:v>
                </c:pt>
                <c:pt idx="2">
                  <c:v>10.07</c:v>
                </c:pt>
              </c:numCache>
            </c:numRef>
          </c:val>
        </c:ser>
        <c:ser>
          <c:idx val="4"/>
          <c:order val="4"/>
          <c:tx>
            <c:strRef>
              <c:f>'means data'!$D$49</c:f>
              <c:strCache>
                <c:ptCount val="1"/>
                <c:pt idx="0">
                  <c:v>1p36 deletion</c:v>
                </c:pt>
              </c:strCache>
            </c:strRef>
          </c:tx>
          <c:spPr>
            <a:pattFill prst="dashVert">
              <a:fgClr>
                <a:schemeClr val="tx1"/>
              </a:fgClr>
              <a:bgClr>
                <a:schemeClr val="bg1"/>
              </a:bgClr>
            </a:pattFill>
            <a:ln>
              <a:solidFill>
                <a:schemeClr val="tx1">
                  <a:lumMod val="75000"/>
                  <a:lumOff val="25000"/>
                </a:schemeClr>
              </a:solidFill>
            </a:ln>
          </c:spPr>
          <c:invertIfNegative val="0"/>
          <c:errBars>
            <c:errBarType val="plus"/>
            <c:errValType val="cust"/>
            <c:noEndCap val="0"/>
            <c:plus>
              <c:numRef>
                <c:f>'means data'!$C$30:$E$30</c:f>
                <c:numCache>
                  <c:formatCode>General</c:formatCode>
                  <c:ptCount val="3"/>
                  <c:pt idx="0">
                    <c:v>1.1000000000000001</c:v>
                  </c:pt>
                  <c:pt idx="1">
                    <c:v>1.3</c:v>
                  </c:pt>
                  <c:pt idx="2">
                    <c:v>1.24</c:v>
                  </c:pt>
                </c:numCache>
              </c:numRef>
            </c:plus>
            <c:minus>
              <c:numLit>
                <c:formatCode>General</c:formatCode>
                <c:ptCount val="1"/>
                <c:pt idx="0">
                  <c:v>1</c:v>
                </c:pt>
              </c:numLit>
            </c:minus>
          </c:errBars>
          <c:cat>
            <c:strRef>
              <c:f>'means data'!$E$43:$G$44</c:f>
              <c:strCache>
                <c:ptCount val="3"/>
                <c:pt idx="0">
                  <c:v>Eats inedible items</c:v>
                </c:pt>
                <c:pt idx="1">
                  <c:v>Takes and stores food</c:v>
                </c:pt>
                <c:pt idx="2">
                  <c:v>Inappropriate behaviour</c:v>
                </c:pt>
              </c:strCache>
            </c:strRef>
          </c:cat>
          <c:val>
            <c:numRef>
              <c:f>'means data'!$E$49:$G$49</c:f>
              <c:numCache>
                <c:formatCode>General</c:formatCode>
                <c:ptCount val="3"/>
                <c:pt idx="0">
                  <c:v>3.4</c:v>
                </c:pt>
                <c:pt idx="1">
                  <c:v>4.1900000000000004</c:v>
                </c:pt>
                <c:pt idx="2">
                  <c:v>9.48</c:v>
                </c:pt>
              </c:numCache>
            </c:numRef>
          </c:val>
        </c:ser>
        <c:dLbls>
          <c:showLegendKey val="0"/>
          <c:showVal val="0"/>
          <c:showCatName val="0"/>
          <c:showSerName val="0"/>
          <c:showPercent val="0"/>
          <c:showBubbleSize val="0"/>
        </c:dLbls>
        <c:gapWidth val="150"/>
        <c:axId val="121151872"/>
        <c:axId val="121153408"/>
      </c:barChart>
      <c:catAx>
        <c:axId val="121151872"/>
        <c:scaling>
          <c:orientation val="minMax"/>
        </c:scaling>
        <c:delete val="0"/>
        <c:axPos val="b"/>
        <c:majorTickMark val="out"/>
        <c:minorTickMark val="none"/>
        <c:tickLblPos val="nextTo"/>
        <c:txPr>
          <a:bodyPr/>
          <a:lstStyle/>
          <a:p>
            <a:pPr>
              <a:defRPr b="1"/>
            </a:pPr>
            <a:endParaRPr lang="en-US"/>
          </a:p>
        </c:txPr>
        <c:crossAx val="121153408"/>
        <c:crosses val="autoZero"/>
        <c:auto val="1"/>
        <c:lblAlgn val="ctr"/>
        <c:lblOffset val="100"/>
        <c:noMultiLvlLbl val="0"/>
      </c:catAx>
      <c:valAx>
        <c:axId val="121153408"/>
        <c:scaling>
          <c:orientation val="minMax"/>
        </c:scaling>
        <c:delete val="0"/>
        <c:axPos val="l"/>
        <c:majorGridlines>
          <c:spPr>
            <a:ln>
              <a:noFill/>
            </a:ln>
          </c:spPr>
        </c:majorGridlines>
        <c:title>
          <c:tx>
            <c:rich>
              <a:bodyPr rot="-5400000" vert="horz"/>
              <a:lstStyle/>
              <a:p>
                <a:pPr>
                  <a:defRPr/>
                </a:pPr>
                <a:r>
                  <a:rPr lang="en-GB"/>
                  <a:t>Mean</a:t>
                </a:r>
                <a:r>
                  <a:rPr lang="en-GB" baseline="0"/>
                  <a:t> s</a:t>
                </a:r>
                <a:r>
                  <a:rPr lang="en-GB"/>
                  <a:t>ubscale</a:t>
                </a:r>
                <a:r>
                  <a:rPr lang="en-GB" baseline="0"/>
                  <a:t> score (1 S.E. bars)</a:t>
                </a:r>
                <a:endParaRPr lang="en-GB"/>
              </a:p>
            </c:rich>
          </c:tx>
          <c:layout>
            <c:manualLayout>
              <c:xMode val="edge"/>
              <c:yMode val="edge"/>
              <c:x val="2.5415444770283482E-2"/>
              <c:y val="0.44027468850207474"/>
            </c:manualLayout>
          </c:layout>
          <c:overlay val="0"/>
        </c:title>
        <c:numFmt formatCode="General" sourceLinked="1"/>
        <c:majorTickMark val="out"/>
        <c:minorTickMark val="none"/>
        <c:tickLblPos val="nextTo"/>
        <c:crossAx val="121151872"/>
        <c:crosses val="autoZero"/>
        <c:crossBetween val="between"/>
      </c:valAx>
    </c:plotArea>
    <c:legend>
      <c:legendPos val="r"/>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52431721228644"/>
          <c:y val="0.10158043324670203"/>
          <c:w val="0.61866284156340923"/>
          <c:h val="0.53512037825836811"/>
        </c:manualLayout>
      </c:layout>
      <c:lineChart>
        <c:grouping val="standard"/>
        <c:varyColors val="0"/>
        <c:ser>
          <c:idx val="0"/>
          <c:order val="0"/>
          <c:tx>
            <c:strRef>
              <c:f>'percentile data'!$B$12</c:f>
              <c:strCache>
                <c:ptCount val="1"/>
                <c:pt idx="0">
                  <c:v>Angelman Syndrome</c:v>
                </c:pt>
              </c:strCache>
            </c:strRef>
          </c:tx>
          <c:spPr>
            <a:ln>
              <a:solidFill>
                <a:schemeClr val="tx1">
                  <a:lumMod val="75000"/>
                  <a:lumOff val="25000"/>
                </a:schemeClr>
              </a:solidFill>
              <a:prstDash val="dash"/>
            </a:ln>
          </c:spPr>
          <c:marker>
            <c:symbol val="diamond"/>
            <c:size val="7"/>
            <c:spPr>
              <a:solidFill>
                <a:schemeClr val="tx1"/>
              </a:solidFill>
              <a:ln>
                <a:solidFill>
                  <a:schemeClr val="tx1">
                    <a:lumMod val="75000"/>
                    <a:lumOff val="25000"/>
                  </a:schemeClr>
                </a:solidFill>
              </a:ln>
            </c:spPr>
          </c:marker>
          <c:cat>
            <c:strRef>
              <c:f>'percentile data'!$C$11:$H$11</c:f>
              <c:strCache>
                <c:ptCount val="6"/>
                <c:pt idx="0">
                  <c:v>Eats inedible</c:v>
                </c:pt>
                <c:pt idx="1">
                  <c:v>Takes and stores</c:v>
                </c:pt>
                <c:pt idx="2">
                  <c:v>Inappropriate behavior</c:v>
                </c:pt>
                <c:pt idx="3">
                  <c:v>Negative composite</c:v>
                </c:pt>
                <c:pt idx="4">
                  <c:v>Impaired Satiety</c:v>
                </c:pt>
                <c:pt idx="5">
                  <c:v>Preoccupation</c:v>
                </c:pt>
              </c:strCache>
            </c:strRef>
          </c:cat>
          <c:val>
            <c:numRef>
              <c:f>'percentile data'!$C$12:$H$12</c:f>
              <c:numCache>
                <c:formatCode>0.0</c:formatCode>
                <c:ptCount val="6"/>
                <c:pt idx="0">
                  <c:v>65.7</c:v>
                </c:pt>
                <c:pt idx="1">
                  <c:v>54.3</c:v>
                </c:pt>
                <c:pt idx="2">
                  <c:v>68.599999999999994</c:v>
                </c:pt>
                <c:pt idx="3">
                  <c:v>65.7</c:v>
                </c:pt>
                <c:pt idx="4">
                  <c:v>25.7</c:v>
                </c:pt>
                <c:pt idx="5">
                  <c:v>20</c:v>
                </c:pt>
              </c:numCache>
            </c:numRef>
          </c:val>
          <c:smooth val="0"/>
        </c:ser>
        <c:ser>
          <c:idx val="1"/>
          <c:order val="1"/>
          <c:tx>
            <c:strRef>
              <c:f>'percentile data'!$B$13</c:f>
              <c:strCache>
                <c:ptCount val="1"/>
                <c:pt idx="0">
                  <c:v>Cornelia de Lange Syndrome</c:v>
                </c:pt>
              </c:strCache>
            </c:strRef>
          </c:tx>
          <c:spPr>
            <a:ln>
              <a:solidFill>
                <a:schemeClr val="tx1"/>
              </a:solidFill>
              <a:prstDash val="solid"/>
            </a:ln>
          </c:spPr>
          <c:marker>
            <c:spPr>
              <a:solidFill>
                <a:schemeClr val="tx1">
                  <a:lumMod val="50000"/>
                  <a:lumOff val="50000"/>
                </a:schemeClr>
              </a:solidFill>
              <a:ln>
                <a:solidFill>
                  <a:schemeClr val="tx1"/>
                </a:solidFill>
              </a:ln>
            </c:spPr>
          </c:marker>
          <c:cat>
            <c:strRef>
              <c:f>'percentile data'!$C$11:$H$11</c:f>
              <c:strCache>
                <c:ptCount val="6"/>
                <c:pt idx="0">
                  <c:v>Eats inedible</c:v>
                </c:pt>
                <c:pt idx="1">
                  <c:v>Takes and stores</c:v>
                </c:pt>
                <c:pt idx="2">
                  <c:v>Inappropriate behavior</c:v>
                </c:pt>
                <c:pt idx="3">
                  <c:v>Negative composite</c:v>
                </c:pt>
                <c:pt idx="4">
                  <c:v>Impaired Satiety</c:v>
                </c:pt>
                <c:pt idx="5">
                  <c:v>Preoccupation</c:v>
                </c:pt>
              </c:strCache>
            </c:strRef>
          </c:cat>
          <c:val>
            <c:numRef>
              <c:f>'percentile data'!$C$13:$H$13</c:f>
              <c:numCache>
                <c:formatCode>0.0</c:formatCode>
                <c:ptCount val="6"/>
                <c:pt idx="0">
                  <c:v>41.9</c:v>
                </c:pt>
                <c:pt idx="1">
                  <c:v>18.8</c:v>
                </c:pt>
                <c:pt idx="2">
                  <c:v>35.5</c:v>
                </c:pt>
                <c:pt idx="3">
                  <c:v>29</c:v>
                </c:pt>
                <c:pt idx="4">
                  <c:v>6.5</c:v>
                </c:pt>
                <c:pt idx="5">
                  <c:v>3.1</c:v>
                </c:pt>
              </c:numCache>
            </c:numRef>
          </c:val>
          <c:smooth val="0"/>
        </c:ser>
        <c:ser>
          <c:idx val="2"/>
          <c:order val="2"/>
          <c:tx>
            <c:strRef>
              <c:f>'percentile data'!$B$14</c:f>
              <c:strCache>
                <c:ptCount val="1"/>
                <c:pt idx="0">
                  <c:v>Fragile X Syndrome</c:v>
                </c:pt>
              </c:strCache>
            </c:strRef>
          </c:tx>
          <c:spPr>
            <a:ln>
              <a:solidFill>
                <a:schemeClr val="tx1">
                  <a:lumMod val="50000"/>
                  <a:lumOff val="50000"/>
                </a:schemeClr>
              </a:solidFill>
            </a:ln>
          </c:spPr>
          <c:marker>
            <c:spPr>
              <a:noFill/>
              <a:ln>
                <a:solidFill>
                  <a:schemeClr val="tx1">
                    <a:lumMod val="50000"/>
                    <a:lumOff val="50000"/>
                  </a:schemeClr>
                </a:solidFill>
              </a:ln>
            </c:spPr>
          </c:marker>
          <c:cat>
            <c:strRef>
              <c:f>'percentile data'!$C$11:$H$11</c:f>
              <c:strCache>
                <c:ptCount val="6"/>
                <c:pt idx="0">
                  <c:v>Eats inedible</c:v>
                </c:pt>
                <c:pt idx="1">
                  <c:v>Takes and stores</c:v>
                </c:pt>
                <c:pt idx="2">
                  <c:v>Inappropriate behavior</c:v>
                </c:pt>
                <c:pt idx="3">
                  <c:v>Negative composite</c:v>
                </c:pt>
                <c:pt idx="4">
                  <c:v>Impaired Satiety</c:v>
                </c:pt>
                <c:pt idx="5">
                  <c:v>Preoccupation</c:v>
                </c:pt>
              </c:strCache>
            </c:strRef>
          </c:cat>
          <c:val>
            <c:numRef>
              <c:f>'percentile data'!$C$14:$H$14</c:f>
              <c:numCache>
                <c:formatCode>0.0</c:formatCode>
                <c:ptCount val="6"/>
                <c:pt idx="0">
                  <c:v>14.2</c:v>
                </c:pt>
                <c:pt idx="1">
                  <c:v>21.4</c:v>
                </c:pt>
                <c:pt idx="2">
                  <c:v>51.7</c:v>
                </c:pt>
                <c:pt idx="3">
                  <c:v>22.2</c:v>
                </c:pt>
                <c:pt idx="4">
                  <c:v>21.4</c:v>
                </c:pt>
                <c:pt idx="5">
                  <c:v>24.1</c:v>
                </c:pt>
              </c:numCache>
            </c:numRef>
          </c:val>
          <c:smooth val="0"/>
        </c:ser>
        <c:ser>
          <c:idx val="3"/>
          <c:order val="3"/>
          <c:tx>
            <c:strRef>
              <c:f>'percentile data'!$B$15</c:f>
              <c:strCache>
                <c:ptCount val="1"/>
                <c:pt idx="0">
                  <c:v>1p36 deletion</c:v>
                </c:pt>
              </c:strCache>
            </c:strRef>
          </c:tx>
          <c:spPr>
            <a:ln>
              <a:solidFill>
                <a:schemeClr val="tx1"/>
              </a:solidFill>
              <a:prstDash val="sysDot"/>
            </a:ln>
          </c:spPr>
          <c:marker>
            <c:spPr>
              <a:noFill/>
              <a:ln>
                <a:solidFill>
                  <a:schemeClr val="tx1"/>
                </a:solidFill>
              </a:ln>
            </c:spPr>
          </c:marker>
          <c:cat>
            <c:strRef>
              <c:f>'percentile data'!$C$11:$H$11</c:f>
              <c:strCache>
                <c:ptCount val="6"/>
                <c:pt idx="0">
                  <c:v>Eats inedible</c:v>
                </c:pt>
                <c:pt idx="1">
                  <c:v>Takes and stores</c:v>
                </c:pt>
                <c:pt idx="2">
                  <c:v>Inappropriate behavior</c:v>
                </c:pt>
                <c:pt idx="3">
                  <c:v>Negative composite</c:v>
                </c:pt>
                <c:pt idx="4">
                  <c:v>Impaired Satiety</c:v>
                </c:pt>
                <c:pt idx="5">
                  <c:v>Preoccupation</c:v>
                </c:pt>
              </c:strCache>
            </c:strRef>
          </c:cat>
          <c:val>
            <c:numRef>
              <c:f>'percentile data'!$C$15:$H$15</c:f>
              <c:numCache>
                <c:formatCode>0.0</c:formatCode>
                <c:ptCount val="6"/>
                <c:pt idx="0">
                  <c:v>52.4</c:v>
                </c:pt>
                <c:pt idx="1">
                  <c:v>14.3</c:v>
                </c:pt>
                <c:pt idx="2">
                  <c:v>55</c:v>
                </c:pt>
                <c:pt idx="3">
                  <c:v>30</c:v>
                </c:pt>
                <c:pt idx="4">
                  <c:v>7.7</c:v>
                </c:pt>
                <c:pt idx="5">
                  <c:v>10</c:v>
                </c:pt>
              </c:numCache>
            </c:numRef>
          </c:val>
          <c:smooth val="0"/>
        </c:ser>
        <c:ser>
          <c:idx val="4"/>
          <c:order val="4"/>
          <c:tx>
            <c:strRef>
              <c:f>'percentile data'!$B$16</c:f>
              <c:strCache>
                <c:ptCount val="1"/>
                <c:pt idx="0">
                  <c:v>50th percentile line for Prader-Willi Syndrome</c:v>
                </c:pt>
              </c:strCache>
            </c:strRef>
          </c:tx>
          <c:spPr>
            <a:ln>
              <a:solidFill>
                <a:schemeClr val="tx1">
                  <a:lumMod val="75000"/>
                  <a:lumOff val="25000"/>
                </a:schemeClr>
              </a:solidFill>
            </a:ln>
          </c:spPr>
          <c:marker>
            <c:symbol val="none"/>
          </c:marker>
          <c:cat>
            <c:strRef>
              <c:f>'percentile data'!$C$11:$H$11</c:f>
              <c:strCache>
                <c:ptCount val="6"/>
                <c:pt idx="0">
                  <c:v>Eats inedible</c:v>
                </c:pt>
                <c:pt idx="1">
                  <c:v>Takes and stores</c:v>
                </c:pt>
                <c:pt idx="2">
                  <c:v>Inappropriate behavior</c:v>
                </c:pt>
                <c:pt idx="3">
                  <c:v>Negative composite</c:v>
                </c:pt>
                <c:pt idx="4">
                  <c:v>Impaired Satiety</c:v>
                </c:pt>
                <c:pt idx="5">
                  <c:v>Preoccupation</c:v>
                </c:pt>
              </c:strCache>
            </c:strRef>
          </c:cat>
          <c:val>
            <c:numRef>
              <c:f>'percentile data'!$C$16:$H$16</c:f>
              <c:numCache>
                <c:formatCode>0.0</c:formatCode>
                <c:ptCount val="6"/>
                <c:pt idx="0">
                  <c:v>50</c:v>
                </c:pt>
                <c:pt idx="1">
                  <c:v>50</c:v>
                </c:pt>
                <c:pt idx="2">
                  <c:v>50</c:v>
                </c:pt>
                <c:pt idx="3">
                  <c:v>50</c:v>
                </c:pt>
                <c:pt idx="4">
                  <c:v>50</c:v>
                </c:pt>
                <c:pt idx="5">
                  <c:v>50</c:v>
                </c:pt>
              </c:numCache>
            </c:numRef>
          </c:val>
          <c:smooth val="0"/>
        </c:ser>
        <c:dLbls>
          <c:showLegendKey val="0"/>
          <c:showVal val="0"/>
          <c:showCatName val="0"/>
          <c:showSerName val="0"/>
          <c:showPercent val="0"/>
          <c:showBubbleSize val="0"/>
        </c:dLbls>
        <c:marker val="1"/>
        <c:smooth val="0"/>
        <c:axId val="121317248"/>
        <c:axId val="121335808"/>
      </c:lineChart>
      <c:catAx>
        <c:axId val="121317248"/>
        <c:scaling>
          <c:orientation val="minMax"/>
        </c:scaling>
        <c:delete val="0"/>
        <c:axPos val="b"/>
        <c:title>
          <c:tx>
            <c:rich>
              <a:bodyPr/>
              <a:lstStyle/>
              <a:p>
                <a:pPr>
                  <a:defRPr/>
                </a:pPr>
                <a:r>
                  <a:rPr lang="en-GB"/>
                  <a:t>Subscale of Food</a:t>
                </a:r>
                <a:r>
                  <a:rPr lang="en-GB" baseline="0"/>
                  <a:t> Related Problems Questionnaire</a:t>
                </a:r>
                <a:endParaRPr lang="en-GB"/>
              </a:p>
            </c:rich>
          </c:tx>
          <c:layout/>
          <c:overlay val="0"/>
        </c:title>
        <c:majorTickMark val="out"/>
        <c:minorTickMark val="none"/>
        <c:tickLblPos val="nextTo"/>
        <c:crossAx val="121335808"/>
        <c:crosses val="autoZero"/>
        <c:auto val="1"/>
        <c:lblAlgn val="ctr"/>
        <c:lblOffset val="100"/>
        <c:noMultiLvlLbl val="0"/>
      </c:catAx>
      <c:valAx>
        <c:axId val="121335808"/>
        <c:scaling>
          <c:orientation val="minMax"/>
        </c:scaling>
        <c:delete val="0"/>
        <c:axPos val="l"/>
        <c:majorGridlines>
          <c:spPr>
            <a:ln>
              <a:noFill/>
            </a:ln>
          </c:spPr>
        </c:majorGridlines>
        <c:title>
          <c:tx>
            <c:rich>
              <a:bodyPr rot="-5400000" vert="horz"/>
              <a:lstStyle/>
              <a:p>
                <a:pPr>
                  <a:defRPr/>
                </a:pPr>
                <a:r>
                  <a:rPr lang="en-GB"/>
                  <a:t>% of other groups at or above 50th percentile for Prader-Willi Syndrome group </a:t>
                </a:r>
              </a:p>
            </c:rich>
          </c:tx>
          <c:layout/>
          <c:overlay val="0"/>
        </c:title>
        <c:numFmt formatCode="0.0" sourceLinked="1"/>
        <c:majorTickMark val="out"/>
        <c:minorTickMark val="none"/>
        <c:tickLblPos val="nextTo"/>
        <c:crossAx val="121317248"/>
        <c:crosses val="autoZero"/>
        <c:crossBetween val="between"/>
      </c:valAx>
    </c:plotArea>
    <c:legend>
      <c:legendPos val="r"/>
      <c:layout>
        <c:manualLayout>
          <c:xMode val="edge"/>
          <c:yMode val="edge"/>
          <c:x val="0.76115666316459363"/>
          <c:y val="6.6682501283038834E-2"/>
          <c:w val="0.20441005132608064"/>
          <c:h val="0.63872597866144498"/>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0.13013</cdr:x>
      <cdr:y>0.39725</cdr:y>
    </cdr:from>
    <cdr:to>
      <cdr:x>0.22703</cdr:x>
      <cdr:y>0.49111</cdr:y>
    </cdr:to>
    <cdr:sp macro="" textlink="">
      <cdr:nvSpPr>
        <cdr:cNvPr id="2" name="TextBox 13"/>
        <cdr:cNvSpPr txBox="1"/>
      </cdr:nvSpPr>
      <cdr:spPr>
        <a:xfrm xmlns:a="http://schemas.openxmlformats.org/drawingml/2006/main">
          <a:off x="773430" y="1561465"/>
          <a:ext cx="575945" cy="368935"/>
        </a:xfrm>
        <a:prstGeom xmlns:a="http://schemas.openxmlformats.org/drawingml/2006/main" prst="rect">
          <a:avLst/>
        </a:prstGeom>
        <a:noFill xmlns:a="http://schemas.openxmlformats.org/drawingml/2006/main"/>
      </cdr:spPr>
    </cdr:sp>
  </cdr:relSizeAnchor>
  <cdr:relSizeAnchor xmlns:cdr="http://schemas.openxmlformats.org/drawingml/2006/chartDrawing">
    <cdr:from>
      <cdr:x>0.38301</cdr:x>
      <cdr:y>0.24992</cdr:y>
    </cdr:from>
    <cdr:to>
      <cdr:x>0.43269</cdr:x>
      <cdr:y>0.31292</cdr:y>
    </cdr:to>
    <cdr:sp macro="" textlink="">
      <cdr:nvSpPr>
        <cdr:cNvPr id="3" name="Text Box 2"/>
        <cdr:cNvSpPr txBox="1">
          <a:spLocks xmlns:a="http://schemas.openxmlformats.org/drawingml/2006/main" noChangeArrowheads="1"/>
        </cdr:cNvSpPr>
      </cdr:nvSpPr>
      <cdr:spPr bwMode="auto">
        <a:xfrm xmlns:a="http://schemas.openxmlformats.org/drawingml/2006/main">
          <a:off x="2276475" y="982345"/>
          <a:ext cx="295275" cy="2476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sz="14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0.0168</cdr:x>
      <cdr:y>0.43728</cdr:y>
    </cdr:from>
    <cdr:to>
      <cdr:x>0.12016</cdr:x>
      <cdr:y>0.69735</cdr:y>
    </cdr:to>
    <cdr:sp macro="" textlink="">
      <cdr:nvSpPr>
        <cdr:cNvPr id="2" name="TextBox 1"/>
        <cdr:cNvSpPr txBox="1"/>
      </cdr:nvSpPr>
      <cdr:spPr>
        <a:xfrm xmlns:a="http://schemas.openxmlformats.org/drawingml/2006/main">
          <a:off x="123825" y="1809749"/>
          <a:ext cx="762000" cy="1076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0.01938</cdr:x>
      <cdr:y>0.36824</cdr:y>
    </cdr:from>
    <cdr:to>
      <cdr:x>0.16408</cdr:x>
      <cdr:y>0.7618</cdr:y>
    </cdr:to>
    <cdr:sp macro="" textlink="">
      <cdr:nvSpPr>
        <cdr:cNvPr id="3" name="TextBox 2"/>
        <cdr:cNvSpPr txBox="1"/>
      </cdr:nvSpPr>
      <cdr:spPr>
        <a:xfrm xmlns:a="http://schemas.openxmlformats.org/drawingml/2006/main">
          <a:off x="128661" y="1523999"/>
          <a:ext cx="960672" cy="1628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400"/>
        </a:p>
      </cdr:txBody>
    </cdr:sp>
  </cdr:relSizeAnchor>
  <cdr:relSizeAnchor xmlns:cdr="http://schemas.openxmlformats.org/drawingml/2006/chartDrawing">
    <cdr:from>
      <cdr:x>0.79627</cdr:x>
      <cdr:y>0.82149</cdr:y>
    </cdr:from>
    <cdr:to>
      <cdr:x>0.93831</cdr:x>
      <cdr:y>0.96014</cdr:y>
    </cdr:to>
    <cdr:sp macro="" textlink="">
      <cdr:nvSpPr>
        <cdr:cNvPr id="5" name="TextBox 4"/>
        <cdr:cNvSpPr txBox="1"/>
      </cdr:nvSpPr>
      <cdr:spPr>
        <a:xfrm xmlns:a="http://schemas.openxmlformats.org/drawingml/2006/main">
          <a:off x="5286375" y="4514850"/>
          <a:ext cx="942975" cy="762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301D-233E-4B25-B0D7-592FE79B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5664</Words>
  <Characters>32291</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Suzanne Higgs</cp:lastModifiedBy>
  <cp:revision>2</cp:revision>
  <cp:lastPrinted>2013-03-04T17:11:00Z</cp:lastPrinted>
  <dcterms:created xsi:type="dcterms:W3CDTF">2016-03-22T08:58:00Z</dcterms:created>
  <dcterms:modified xsi:type="dcterms:W3CDTF">2016-03-22T08:58:00Z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http://www.zotero.org/styles/apsa</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http://www.zotero.org/styles/asa</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http://www.zotero.org/styles/mhra</vt:lpwstr>
  </property>
  <property fmtid="{D5CDD505-2E9C-101B-9397-08002B2CF9AE}" pid="15" name="Mendeley Recent Style Name 6_1">
    <vt:lpwstr>Modern Humanities Research Association (note with bibliography)</vt:lpwstr>
  </property>
  <property fmtid="{D5CDD505-2E9C-101B-9397-08002B2CF9AE}" pid="16" name="Mendeley Recent Style Id 7_1">
    <vt:lpwstr>http://www.zotero.org/styles/mla</vt:lpwstr>
  </property>
  <property fmtid="{D5CDD505-2E9C-101B-9397-08002B2CF9AE}" pid="17" name="Mendeley Recent Style Name 7_1">
    <vt:lpwstr>Modern Language Association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Document_1">
    <vt:lpwstr>True</vt:lpwstr>
  </property>
  <property fmtid="{D5CDD505-2E9C-101B-9397-08002B2CF9AE}" pid="21" name="Mendeley User Name_1">
    <vt:lpwstr>akw722@bham.ac.uk@www.mendeley.com</vt:lpwstr>
  </property>
  <property fmtid="{D5CDD505-2E9C-101B-9397-08002B2CF9AE}" pid="22" name="Mendeley Citation Style_1">
    <vt:lpwstr>http://www.zotero.org/styles/apa</vt:lpwstr>
  </property>
</Properties>
</file>